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E9D" w:rsidRPr="00E35782" w:rsidRDefault="001E7E9D" w:rsidP="00E35782">
      <w:pPr>
        <w:jc w:val="center"/>
        <w:rPr>
          <w:rFonts w:ascii="Copperplate Gothic Light" w:hAnsi="Copperplate Gothic Light"/>
          <w:sz w:val="28"/>
          <w:szCs w:val="28"/>
        </w:rPr>
      </w:pPr>
      <w:r>
        <w:rPr>
          <w:rFonts w:ascii="Copperplate Gothic Light" w:hAnsi="Copperplate Gothic Light"/>
          <w:sz w:val="28"/>
          <w:szCs w:val="28"/>
        </w:rPr>
        <w:t>The Institute</w:t>
      </w:r>
      <w:r w:rsidRPr="00E35782">
        <w:rPr>
          <w:rFonts w:ascii="Copperplate Gothic Light" w:hAnsi="Copperplate Gothic Light"/>
          <w:sz w:val="28"/>
          <w:szCs w:val="28"/>
        </w:rPr>
        <w:t xml:space="preserve"> for the Fiduciary Standard</w:t>
      </w:r>
    </w:p>
    <w:p w:rsidR="001E7E9D" w:rsidRDefault="001E7E9D" w:rsidP="00E35782">
      <w:pPr>
        <w:jc w:val="center"/>
        <w:rPr>
          <w:rFonts w:ascii="Copperplate Gothic Light" w:hAnsi="Copperplate Gothic Light" w:cs="Arial"/>
          <w:sz w:val="20"/>
          <w:szCs w:val="20"/>
        </w:rPr>
      </w:pPr>
    </w:p>
    <w:p w:rsidR="001E7E9D" w:rsidRPr="00766C2F" w:rsidRDefault="001E7E9D" w:rsidP="00E35782">
      <w:pPr>
        <w:jc w:val="center"/>
        <w:rPr>
          <w:rFonts w:ascii="Copperplate Gothic Light" w:hAnsi="Copperplate Gothic Light" w:cs="Arial"/>
          <w:sz w:val="18"/>
          <w:szCs w:val="18"/>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766C2F">
                <w:rPr>
                  <w:rFonts w:ascii="Copperplate Gothic Light" w:hAnsi="Copperplate Gothic Light" w:cs="Arial"/>
                  <w:sz w:val="18"/>
                  <w:szCs w:val="18"/>
                </w:rPr>
                <w:t>PO Box</w:t>
              </w:r>
            </w:smartTag>
          </w:smartTag>
          <w:r w:rsidRPr="00766C2F">
            <w:rPr>
              <w:rFonts w:ascii="Copperplate Gothic Light" w:hAnsi="Copperplate Gothic Light" w:cs="Arial"/>
              <w:sz w:val="18"/>
              <w:szCs w:val="18"/>
            </w:rPr>
            <w:t xml:space="preserve"> 3325</w:t>
          </w:r>
        </w:smartTag>
      </w:smartTag>
    </w:p>
    <w:p w:rsidR="001E7E9D" w:rsidRPr="00766C2F" w:rsidRDefault="001E7E9D" w:rsidP="00E35782">
      <w:pPr>
        <w:jc w:val="center"/>
        <w:rPr>
          <w:rFonts w:ascii="Copperplate Gothic Light" w:hAnsi="Copperplate Gothic Light"/>
          <w:sz w:val="18"/>
          <w:szCs w:val="18"/>
        </w:rPr>
      </w:pPr>
      <w:smartTag w:uri="urn:schemas-microsoft-com:office:smarttags" w:element="City">
        <w:smartTag w:uri="urn:schemas-microsoft-com:office:smarttags" w:element="place">
          <w:r w:rsidRPr="00766C2F">
            <w:rPr>
              <w:rFonts w:ascii="Copperplate Gothic Light" w:hAnsi="Copperplate Gothic Light" w:cs="Arial"/>
              <w:sz w:val="18"/>
              <w:szCs w:val="18"/>
            </w:rPr>
            <w:t>Falls Church</w:t>
          </w:r>
        </w:smartTag>
        <w:r w:rsidRPr="00766C2F">
          <w:rPr>
            <w:rFonts w:ascii="Copperplate Gothic Light" w:hAnsi="Copperplate Gothic Light" w:cs="Arial"/>
            <w:sz w:val="18"/>
            <w:szCs w:val="18"/>
          </w:rPr>
          <w:t xml:space="preserve">, </w:t>
        </w:r>
        <w:smartTag w:uri="urn:schemas-microsoft-com:office:smarttags" w:element="State">
          <w:r w:rsidRPr="00766C2F">
            <w:rPr>
              <w:rFonts w:ascii="Copperplate Gothic Light" w:hAnsi="Copperplate Gothic Light" w:cs="Arial"/>
              <w:sz w:val="18"/>
              <w:szCs w:val="18"/>
            </w:rPr>
            <w:t>Virginia</w:t>
          </w:r>
        </w:smartTag>
        <w:r w:rsidRPr="00766C2F">
          <w:rPr>
            <w:rFonts w:ascii="Copperplate Gothic Light" w:hAnsi="Copperplate Gothic Light" w:cs="Arial"/>
            <w:sz w:val="18"/>
            <w:szCs w:val="18"/>
          </w:rPr>
          <w:t xml:space="preserve">  </w:t>
        </w:r>
        <w:smartTag w:uri="urn:schemas-microsoft-com:office:smarttags" w:element="PostalCode">
          <w:r w:rsidRPr="00766C2F">
            <w:rPr>
              <w:rFonts w:ascii="Copperplate Gothic Light" w:hAnsi="Copperplate Gothic Light" w:cs="Arial"/>
              <w:sz w:val="18"/>
              <w:szCs w:val="18"/>
            </w:rPr>
            <w:t>22043</w:t>
          </w:r>
        </w:smartTag>
      </w:smartTag>
    </w:p>
    <w:p w:rsidR="001E7E9D" w:rsidRDefault="001E7E9D" w:rsidP="006C30ED">
      <w:pPr>
        <w:tabs>
          <w:tab w:val="left" w:pos="630"/>
        </w:tabs>
        <w:ind w:left="90"/>
        <w:rPr>
          <w:rFonts w:ascii="Times New Roman" w:hAnsi="Times New Roman"/>
          <w:sz w:val="24"/>
          <w:szCs w:val="24"/>
        </w:rPr>
      </w:pPr>
    </w:p>
    <w:p w:rsidR="001E7E9D" w:rsidRDefault="001E7E9D" w:rsidP="006C30ED">
      <w:pPr>
        <w:tabs>
          <w:tab w:val="left" w:pos="630"/>
        </w:tabs>
        <w:ind w:left="90"/>
        <w:rPr>
          <w:rFonts w:ascii="Times New Roman" w:hAnsi="Times New Roman"/>
          <w:sz w:val="24"/>
          <w:szCs w:val="24"/>
        </w:rPr>
      </w:pPr>
    </w:p>
    <w:p w:rsidR="001E7E9D" w:rsidRDefault="001E7E9D" w:rsidP="006C30ED">
      <w:pPr>
        <w:tabs>
          <w:tab w:val="left" w:pos="630"/>
        </w:tabs>
        <w:ind w:left="90"/>
        <w:rPr>
          <w:rFonts w:ascii="Times New Roman" w:hAnsi="Times New Roman"/>
          <w:sz w:val="24"/>
          <w:szCs w:val="24"/>
        </w:rPr>
      </w:pPr>
    </w:p>
    <w:p w:rsidR="001E7E9D" w:rsidRDefault="001E7E9D" w:rsidP="006C30ED">
      <w:pPr>
        <w:tabs>
          <w:tab w:val="left" w:pos="630"/>
        </w:tabs>
        <w:ind w:left="90"/>
        <w:rPr>
          <w:rFonts w:ascii="Times New Roman" w:hAnsi="Times New Roman"/>
          <w:sz w:val="24"/>
          <w:szCs w:val="24"/>
        </w:rPr>
      </w:pPr>
    </w:p>
    <w:p w:rsidR="001E7E9D" w:rsidRDefault="001E7E9D" w:rsidP="006C30ED">
      <w:pPr>
        <w:tabs>
          <w:tab w:val="left" w:pos="630"/>
        </w:tabs>
        <w:ind w:left="90"/>
        <w:rPr>
          <w:rFonts w:ascii="Times New Roman" w:hAnsi="Times New Roman"/>
          <w:sz w:val="24"/>
          <w:szCs w:val="24"/>
        </w:rPr>
      </w:pPr>
      <w:r>
        <w:rPr>
          <w:rFonts w:ascii="Times New Roman" w:hAnsi="Times New Roman"/>
          <w:sz w:val="24"/>
          <w:szCs w:val="24"/>
        </w:rPr>
        <w:t>Wednesday, September 07, 2011</w:t>
      </w:r>
    </w:p>
    <w:p w:rsidR="001E7E9D" w:rsidRDefault="001E7E9D" w:rsidP="006C30ED">
      <w:pPr>
        <w:tabs>
          <w:tab w:val="left" w:pos="630"/>
        </w:tabs>
        <w:ind w:left="90"/>
        <w:rPr>
          <w:rFonts w:ascii="Times New Roman" w:hAnsi="Times New Roman"/>
          <w:sz w:val="24"/>
          <w:szCs w:val="24"/>
        </w:rPr>
      </w:pPr>
    </w:p>
    <w:p w:rsidR="001E7E9D" w:rsidRPr="001D5B51" w:rsidRDefault="001E7E9D" w:rsidP="006C30ED">
      <w:pPr>
        <w:tabs>
          <w:tab w:val="left" w:pos="630"/>
        </w:tabs>
        <w:ind w:left="90"/>
        <w:rPr>
          <w:rFonts w:ascii="Times New Roman" w:hAnsi="Times New Roman"/>
          <w:sz w:val="24"/>
          <w:szCs w:val="24"/>
        </w:rPr>
      </w:pPr>
      <w:r w:rsidRPr="001D5B51">
        <w:rPr>
          <w:rFonts w:ascii="Times New Roman" w:hAnsi="Times New Roman"/>
          <w:sz w:val="24"/>
          <w:szCs w:val="24"/>
        </w:rPr>
        <w:t>Office of Regulations and Interpretations</w:t>
      </w:r>
    </w:p>
    <w:p w:rsidR="001E7E9D" w:rsidRPr="001D5B51" w:rsidRDefault="001E7E9D" w:rsidP="006C30ED">
      <w:pPr>
        <w:tabs>
          <w:tab w:val="left" w:pos="630"/>
        </w:tabs>
        <w:ind w:left="90"/>
        <w:rPr>
          <w:rFonts w:ascii="Times New Roman" w:hAnsi="Times New Roman"/>
          <w:sz w:val="24"/>
          <w:szCs w:val="24"/>
        </w:rPr>
      </w:pPr>
      <w:r w:rsidRPr="001D5B51">
        <w:rPr>
          <w:rFonts w:ascii="Times New Roman" w:hAnsi="Times New Roman"/>
          <w:sz w:val="24"/>
          <w:szCs w:val="24"/>
        </w:rPr>
        <w:t>Employee Benefits Security Administration</w:t>
      </w:r>
    </w:p>
    <w:p w:rsidR="001E7E9D" w:rsidRPr="001D5B51" w:rsidRDefault="001E7E9D" w:rsidP="006C30ED">
      <w:pPr>
        <w:tabs>
          <w:tab w:val="left" w:pos="630"/>
        </w:tabs>
        <w:ind w:left="90"/>
        <w:rPr>
          <w:rFonts w:ascii="Times New Roman" w:hAnsi="Times New Roman"/>
          <w:sz w:val="24"/>
          <w:szCs w:val="24"/>
        </w:rPr>
      </w:pPr>
      <w:r w:rsidRPr="001D5B51">
        <w:rPr>
          <w:rFonts w:ascii="Times New Roman" w:hAnsi="Times New Roman"/>
          <w:sz w:val="24"/>
          <w:szCs w:val="24"/>
        </w:rPr>
        <w:t>Attn:  Definition of Fiduciary Proposed Rule</w:t>
      </w:r>
    </w:p>
    <w:p w:rsidR="001E7E9D" w:rsidRPr="001D5B51" w:rsidRDefault="001E7E9D" w:rsidP="006C30ED">
      <w:pPr>
        <w:tabs>
          <w:tab w:val="left" w:pos="630"/>
        </w:tabs>
        <w:ind w:left="90"/>
        <w:rPr>
          <w:rFonts w:ascii="Times New Roman" w:hAnsi="Times New Roman"/>
          <w:sz w:val="24"/>
          <w:szCs w:val="24"/>
        </w:rPr>
      </w:pPr>
      <w:r w:rsidRPr="001D5B51">
        <w:rPr>
          <w:rFonts w:ascii="Times New Roman" w:hAnsi="Times New Roman"/>
          <w:sz w:val="24"/>
          <w:szCs w:val="24"/>
        </w:rPr>
        <w:t>Room N-5655</w:t>
      </w:r>
    </w:p>
    <w:p w:rsidR="001E7E9D" w:rsidRPr="001D5B51" w:rsidRDefault="001E7E9D" w:rsidP="006C30ED">
      <w:pPr>
        <w:tabs>
          <w:tab w:val="left" w:pos="630"/>
        </w:tabs>
        <w:ind w:left="90"/>
        <w:rPr>
          <w:rFonts w:ascii="Times New Roman" w:hAnsi="Times New Roman"/>
          <w:sz w:val="24"/>
          <w:szCs w:val="24"/>
        </w:rPr>
      </w:pPr>
      <w:smartTag w:uri="urn:schemas-microsoft-com:office:smarttags" w:element="country-region">
        <w:smartTag w:uri="urn:schemas-microsoft-com:office:smarttags" w:element="place">
          <w:r w:rsidRPr="001D5B51">
            <w:rPr>
              <w:rFonts w:ascii="Times New Roman" w:hAnsi="Times New Roman"/>
              <w:sz w:val="24"/>
              <w:szCs w:val="24"/>
            </w:rPr>
            <w:t>U.S.</w:t>
          </w:r>
        </w:smartTag>
      </w:smartTag>
      <w:r w:rsidRPr="001D5B51">
        <w:rPr>
          <w:rFonts w:ascii="Times New Roman" w:hAnsi="Times New Roman"/>
          <w:sz w:val="24"/>
          <w:szCs w:val="24"/>
        </w:rPr>
        <w:t xml:space="preserve"> Department of Labor</w:t>
      </w:r>
    </w:p>
    <w:p w:rsidR="001E7E9D" w:rsidRPr="001D5B51" w:rsidRDefault="001E7E9D" w:rsidP="006C30ED">
      <w:pPr>
        <w:tabs>
          <w:tab w:val="left" w:pos="630"/>
        </w:tabs>
        <w:ind w:left="90"/>
        <w:rPr>
          <w:rFonts w:ascii="Times New Roman" w:hAnsi="Times New Roman"/>
          <w:sz w:val="24"/>
          <w:szCs w:val="24"/>
        </w:rPr>
      </w:pPr>
      <w:smartTag w:uri="urn:schemas-microsoft-com:office:smarttags" w:element="address">
        <w:smartTag w:uri="urn:schemas-microsoft-com:office:smarttags" w:element="Street">
          <w:r w:rsidRPr="001D5B51">
            <w:rPr>
              <w:rFonts w:ascii="Times New Roman" w:hAnsi="Times New Roman"/>
              <w:sz w:val="24"/>
              <w:szCs w:val="24"/>
            </w:rPr>
            <w:t>200 Constitution Avenue, N.W.</w:t>
          </w:r>
        </w:smartTag>
      </w:smartTag>
    </w:p>
    <w:p w:rsidR="001E7E9D" w:rsidRPr="001D5B51" w:rsidRDefault="001E7E9D" w:rsidP="006C30ED">
      <w:pPr>
        <w:tabs>
          <w:tab w:val="left" w:pos="630"/>
        </w:tabs>
        <w:ind w:left="90"/>
        <w:rPr>
          <w:rFonts w:ascii="Times New Roman" w:hAnsi="Times New Roman"/>
          <w:sz w:val="24"/>
          <w:szCs w:val="24"/>
        </w:rPr>
      </w:pPr>
      <w:smartTag w:uri="urn:schemas-microsoft-com:office:smarttags" w:element="City">
        <w:smartTag w:uri="urn:schemas-microsoft-com:office:smarttags" w:element="place">
          <w:r w:rsidRPr="001D5B51">
            <w:rPr>
              <w:rFonts w:ascii="Times New Roman" w:hAnsi="Times New Roman"/>
              <w:sz w:val="24"/>
              <w:szCs w:val="24"/>
            </w:rPr>
            <w:t>Washington</w:t>
          </w:r>
        </w:smartTag>
        <w:r w:rsidRPr="001D5B51">
          <w:rPr>
            <w:rFonts w:ascii="Times New Roman" w:hAnsi="Times New Roman"/>
            <w:sz w:val="24"/>
            <w:szCs w:val="24"/>
          </w:rPr>
          <w:t xml:space="preserve">, </w:t>
        </w:r>
        <w:smartTag w:uri="urn:schemas-microsoft-com:office:smarttags" w:element="PostalCode">
          <w:smartTag w:uri="urn:schemas-microsoft-com:office:smarttags" w:element="State">
            <w:r w:rsidRPr="001D5B51">
              <w:rPr>
                <w:rFonts w:ascii="Times New Roman" w:hAnsi="Times New Roman"/>
                <w:sz w:val="24"/>
                <w:szCs w:val="24"/>
              </w:rPr>
              <w:t>D.C.</w:t>
            </w:r>
          </w:smartTag>
        </w:smartTag>
        <w:r w:rsidRPr="001D5B51">
          <w:rPr>
            <w:rFonts w:ascii="Times New Roman" w:hAnsi="Times New Roman"/>
            <w:sz w:val="24"/>
            <w:szCs w:val="24"/>
          </w:rPr>
          <w:t xml:space="preserve"> </w:t>
        </w:r>
        <w:smartTag w:uri="urn:schemas-microsoft-com:office:smarttags" w:element="PostalCode">
          <w:r w:rsidRPr="001D5B51">
            <w:rPr>
              <w:rFonts w:ascii="Times New Roman" w:hAnsi="Times New Roman"/>
              <w:sz w:val="24"/>
              <w:szCs w:val="24"/>
            </w:rPr>
            <w:t>20210</w:t>
          </w:r>
        </w:smartTag>
      </w:smartTag>
    </w:p>
    <w:p w:rsidR="001E7E9D" w:rsidRPr="001D5B51" w:rsidRDefault="001E7E9D" w:rsidP="006C30ED">
      <w:pPr>
        <w:tabs>
          <w:tab w:val="left" w:pos="630"/>
        </w:tabs>
        <w:ind w:left="90"/>
        <w:rPr>
          <w:rFonts w:ascii="Times New Roman" w:hAnsi="Times New Roman"/>
          <w:sz w:val="24"/>
          <w:szCs w:val="24"/>
        </w:rPr>
      </w:pPr>
    </w:p>
    <w:p w:rsidR="001E7E9D" w:rsidRPr="001D5B51" w:rsidRDefault="001E7E9D" w:rsidP="006C30ED">
      <w:pPr>
        <w:tabs>
          <w:tab w:val="left" w:pos="630"/>
        </w:tabs>
        <w:ind w:left="90"/>
        <w:rPr>
          <w:rFonts w:ascii="Times New Roman" w:hAnsi="Times New Roman"/>
          <w:b/>
          <w:sz w:val="24"/>
          <w:szCs w:val="24"/>
        </w:rPr>
      </w:pPr>
      <w:r w:rsidRPr="001D5B51">
        <w:rPr>
          <w:rFonts w:ascii="Times New Roman" w:hAnsi="Times New Roman"/>
          <w:b/>
          <w:sz w:val="24"/>
          <w:szCs w:val="24"/>
        </w:rPr>
        <w:t>RE:</w:t>
      </w:r>
      <w:r w:rsidRPr="001D5B51">
        <w:rPr>
          <w:rFonts w:ascii="Times New Roman" w:hAnsi="Times New Roman"/>
          <w:b/>
          <w:sz w:val="24"/>
          <w:szCs w:val="24"/>
        </w:rPr>
        <w:tab/>
        <w:t>COMMENTS ON PROPOSED RULE</w:t>
      </w:r>
    </w:p>
    <w:p w:rsidR="001E7E9D" w:rsidRPr="001D5B51" w:rsidRDefault="001E7E9D" w:rsidP="006C30ED">
      <w:pPr>
        <w:tabs>
          <w:tab w:val="left" w:pos="630"/>
        </w:tabs>
        <w:ind w:left="90"/>
        <w:rPr>
          <w:rFonts w:ascii="Times New Roman" w:hAnsi="Times New Roman"/>
          <w:b/>
          <w:sz w:val="24"/>
          <w:szCs w:val="24"/>
        </w:rPr>
      </w:pPr>
      <w:r w:rsidRPr="001D5B51">
        <w:rPr>
          <w:rFonts w:ascii="Times New Roman" w:hAnsi="Times New Roman"/>
          <w:b/>
          <w:sz w:val="24"/>
          <w:szCs w:val="24"/>
        </w:rPr>
        <w:tab/>
        <w:t>DEFINITION OF THE TERM "FIDUCIARY"</w:t>
      </w:r>
    </w:p>
    <w:p w:rsidR="001E7E9D" w:rsidRPr="001D5B51" w:rsidRDefault="001E7E9D" w:rsidP="006C30ED">
      <w:pPr>
        <w:tabs>
          <w:tab w:val="left" w:pos="630"/>
        </w:tabs>
        <w:ind w:left="90"/>
        <w:rPr>
          <w:rFonts w:ascii="Times New Roman" w:hAnsi="Times New Roman"/>
          <w:b/>
          <w:sz w:val="24"/>
          <w:szCs w:val="24"/>
        </w:rPr>
      </w:pPr>
      <w:r w:rsidRPr="001D5B51">
        <w:rPr>
          <w:rFonts w:ascii="Times New Roman" w:hAnsi="Times New Roman"/>
          <w:b/>
          <w:sz w:val="24"/>
          <w:szCs w:val="24"/>
        </w:rPr>
        <w:tab/>
        <w:t>29 CFR PART 2510</w:t>
      </w:r>
    </w:p>
    <w:p w:rsidR="001E7E9D" w:rsidRPr="001D5B51" w:rsidRDefault="001E7E9D" w:rsidP="006C30ED">
      <w:pPr>
        <w:tabs>
          <w:tab w:val="left" w:pos="630"/>
        </w:tabs>
        <w:ind w:left="90"/>
        <w:rPr>
          <w:rFonts w:ascii="Times New Roman" w:hAnsi="Times New Roman"/>
          <w:sz w:val="24"/>
          <w:szCs w:val="24"/>
        </w:rPr>
      </w:pPr>
    </w:p>
    <w:p w:rsidR="001E7E9D" w:rsidRPr="001D5B51" w:rsidRDefault="001E7E9D" w:rsidP="006C30ED">
      <w:pPr>
        <w:tabs>
          <w:tab w:val="left" w:pos="630"/>
        </w:tabs>
        <w:ind w:left="90"/>
        <w:rPr>
          <w:rFonts w:ascii="Times New Roman" w:hAnsi="Times New Roman"/>
          <w:sz w:val="24"/>
          <w:szCs w:val="24"/>
        </w:rPr>
      </w:pPr>
      <w:r w:rsidRPr="001D5B51">
        <w:rPr>
          <w:rFonts w:ascii="Times New Roman" w:hAnsi="Times New Roman"/>
          <w:sz w:val="24"/>
          <w:szCs w:val="24"/>
        </w:rPr>
        <w:t>Dear Sir or Madam:</w:t>
      </w:r>
    </w:p>
    <w:p w:rsidR="001E7E9D" w:rsidRPr="001D5B51" w:rsidRDefault="001E7E9D" w:rsidP="006C30ED">
      <w:pPr>
        <w:tabs>
          <w:tab w:val="left" w:pos="630"/>
        </w:tabs>
        <w:spacing w:before="20" w:after="20" w:line="360" w:lineRule="auto"/>
        <w:ind w:left="90"/>
        <w:rPr>
          <w:rFonts w:ascii="Times New Roman" w:hAnsi="Times New Roman"/>
          <w:sz w:val="24"/>
          <w:szCs w:val="24"/>
        </w:rPr>
      </w:pPr>
    </w:p>
    <w:p w:rsidR="001E7E9D" w:rsidRPr="001D5B51" w:rsidRDefault="001E7E9D" w:rsidP="006C30ED">
      <w:pPr>
        <w:tabs>
          <w:tab w:val="left" w:pos="630"/>
        </w:tabs>
        <w:spacing w:before="20" w:after="20" w:line="360" w:lineRule="auto"/>
        <w:ind w:left="90"/>
        <w:rPr>
          <w:rFonts w:ascii="Times New Roman" w:hAnsi="Times New Roman"/>
          <w:sz w:val="24"/>
          <w:szCs w:val="24"/>
        </w:rPr>
      </w:pPr>
      <w:r w:rsidRPr="001D5B51">
        <w:rPr>
          <w:rFonts w:ascii="Times New Roman" w:hAnsi="Times New Roman"/>
          <w:sz w:val="24"/>
          <w:szCs w:val="24"/>
        </w:rPr>
        <w:t xml:space="preserve">The Employee Retirement Income Security Act ("ERISA") is a comprehensive statute designed to promote the interests of participants in employee benefit plans and their beneficiaries by establishing standards of conduct, responsibility, and obligation for fiduciaries of those plans. ERISA section 404(a) imposes a number of principal based strict duties on those who act as plan fiduciaries, including a duty of undivided loyalty, a duty to take action for the exclusive purposes of providing plan benefits and defraying reasonable expenses of administering the plan, and a duty of care based on the prudent man standard. Consistent with the mission, under ERISA Section 406, any transaction between a plan and a party-in-interest, as defined in  ERISA section 3(14), is </w:t>
      </w:r>
      <w:r>
        <w:rPr>
          <w:rFonts w:ascii="Times New Roman" w:hAnsi="Times New Roman"/>
          <w:sz w:val="24"/>
          <w:szCs w:val="24"/>
        </w:rPr>
        <w:t xml:space="preserve">deemed </w:t>
      </w:r>
      <w:r w:rsidRPr="001D5B51">
        <w:rPr>
          <w:rFonts w:ascii="Times New Roman" w:hAnsi="Times New Roman"/>
          <w:sz w:val="24"/>
          <w:szCs w:val="24"/>
        </w:rPr>
        <w:t xml:space="preserve">prohibitive. This protective regime prevents and minimizes the likelihood of self-dealing and taking actions that are adverse to or not in the sole benefit of the plan participants and beneficiaries.  </w:t>
      </w:r>
    </w:p>
    <w:p w:rsidR="001E7E9D" w:rsidRPr="001D5B51" w:rsidRDefault="001E7E9D" w:rsidP="006C30ED">
      <w:pPr>
        <w:tabs>
          <w:tab w:val="left" w:pos="630"/>
        </w:tabs>
        <w:spacing w:before="20" w:after="20" w:line="360" w:lineRule="auto"/>
        <w:ind w:left="90"/>
        <w:rPr>
          <w:rFonts w:ascii="Times New Roman" w:hAnsi="Times New Roman"/>
          <w:sz w:val="24"/>
          <w:szCs w:val="24"/>
        </w:rPr>
      </w:pPr>
    </w:p>
    <w:p w:rsidR="001E7E9D" w:rsidRPr="001D5B51" w:rsidRDefault="001E7E9D" w:rsidP="006C30ED">
      <w:pPr>
        <w:tabs>
          <w:tab w:val="left" w:pos="630"/>
        </w:tabs>
        <w:spacing w:before="20" w:after="20" w:line="360" w:lineRule="auto"/>
        <w:ind w:left="90"/>
        <w:rPr>
          <w:rFonts w:ascii="Times New Roman" w:hAnsi="Times New Roman"/>
          <w:sz w:val="24"/>
          <w:szCs w:val="24"/>
        </w:rPr>
      </w:pPr>
      <w:r w:rsidRPr="001D5B51">
        <w:rPr>
          <w:rFonts w:ascii="Times New Roman" w:hAnsi="Times New Roman"/>
          <w:sz w:val="24"/>
          <w:szCs w:val="24"/>
        </w:rPr>
        <w:t xml:space="preserve">ERISA contains various statutory exemptions from the prohibited transaction rules; these exemptions were enacted by Congress to prevent the disruption of a number of customary business practices involving employee benefit plans. </w:t>
      </w:r>
      <w:r>
        <w:rPr>
          <w:rFonts w:ascii="Times New Roman" w:hAnsi="Times New Roman"/>
          <w:sz w:val="24"/>
          <w:szCs w:val="24"/>
        </w:rPr>
        <w:t>Furthermore</w:t>
      </w:r>
      <w:r w:rsidRPr="001D5B51">
        <w:rPr>
          <w:rFonts w:ascii="Times New Roman" w:hAnsi="Times New Roman"/>
          <w:sz w:val="24"/>
          <w:szCs w:val="24"/>
        </w:rPr>
        <w:t xml:space="preserve">, ERISA section 408(a) authorizes the Department of Labor ("Department") to grant administrative exemptions, on either an individual or a class basis, from the restrictions of ERISA sections 406 and 407(a) in instances where such relief meets the following three general principles: (i) administratively feasible, (ii) in the interests of the plan and its participants and beneficiaries, and (iii) protective of the rights of participants and beneficiaries of such plan. It is through the use of Statutory Exemptions or Administrative Exemptions that </w:t>
      </w:r>
      <w:r>
        <w:rPr>
          <w:rFonts w:ascii="Times New Roman" w:hAnsi="Times New Roman"/>
          <w:sz w:val="24"/>
          <w:szCs w:val="24"/>
        </w:rPr>
        <w:t xml:space="preserve">ERISA </w:t>
      </w:r>
      <w:r w:rsidRPr="001D5B51">
        <w:rPr>
          <w:rFonts w:ascii="Times New Roman" w:hAnsi="Times New Roman"/>
          <w:sz w:val="24"/>
          <w:szCs w:val="24"/>
        </w:rPr>
        <w:t>permit</w:t>
      </w:r>
      <w:r>
        <w:rPr>
          <w:rFonts w:ascii="Times New Roman" w:hAnsi="Times New Roman"/>
          <w:sz w:val="24"/>
          <w:szCs w:val="24"/>
        </w:rPr>
        <w:t>s</w:t>
      </w:r>
      <w:r w:rsidRPr="001D5B51">
        <w:rPr>
          <w:rFonts w:ascii="Times New Roman" w:hAnsi="Times New Roman"/>
          <w:sz w:val="24"/>
          <w:szCs w:val="24"/>
        </w:rPr>
        <w:t xml:space="preserve"> otherwise prohibitive transactions to be carried out by a party-in-interest for plan operation and meet fiduciary duties under Section 404(a).</w:t>
      </w:r>
    </w:p>
    <w:p w:rsidR="001E7E9D" w:rsidRPr="001D5B51" w:rsidRDefault="001E7E9D" w:rsidP="006C30ED">
      <w:pPr>
        <w:tabs>
          <w:tab w:val="left" w:pos="630"/>
        </w:tabs>
        <w:spacing w:before="20" w:after="20" w:line="360" w:lineRule="auto"/>
        <w:ind w:left="90"/>
        <w:rPr>
          <w:rFonts w:ascii="Times New Roman" w:hAnsi="Times New Roman"/>
          <w:sz w:val="24"/>
          <w:szCs w:val="24"/>
        </w:rPr>
      </w:pPr>
    </w:p>
    <w:p w:rsidR="001E7E9D" w:rsidRPr="001D5B51" w:rsidRDefault="001E7E9D" w:rsidP="006C30ED">
      <w:pPr>
        <w:tabs>
          <w:tab w:val="left" w:pos="630"/>
        </w:tabs>
        <w:spacing w:before="20" w:after="20" w:line="360" w:lineRule="auto"/>
        <w:ind w:left="90"/>
        <w:rPr>
          <w:rFonts w:ascii="Times New Roman" w:hAnsi="Times New Roman"/>
          <w:sz w:val="24"/>
          <w:szCs w:val="24"/>
        </w:rPr>
      </w:pPr>
      <w:r w:rsidRPr="001D5B51">
        <w:rPr>
          <w:rFonts w:ascii="Times New Roman" w:hAnsi="Times New Roman"/>
          <w:sz w:val="24"/>
          <w:szCs w:val="24"/>
        </w:rPr>
        <w:t>Under the Department's proposed rule 29 CFR Part 2570 dated August 30, 2010  regarding "Prohibited Transaction Exemption Procedures; Employee Benefit Plans", it states that "the Department requires, as a condition of every exemption, that the terms of the subject transaction be no less favorable to the plan than the terms which the plan could obtain in an arm’s-length transaction with an unrelated party. Depending on the facts and circumstances of a particular transaction, additional conditions for exemptive relief generally are required."</w:t>
      </w:r>
    </w:p>
    <w:p w:rsidR="001E7E9D" w:rsidRPr="001D5B51" w:rsidRDefault="001E7E9D" w:rsidP="006C30ED">
      <w:pPr>
        <w:tabs>
          <w:tab w:val="left" w:pos="630"/>
        </w:tabs>
        <w:spacing w:before="20" w:after="20" w:line="360" w:lineRule="auto"/>
        <w:ind w:left="90"/>
        <w:rPr>
          <w:rFonts w:ascii="Times New Roman" w:hAnsi="Times New Roman"/>
          <w:sz w:val="24"/>
          <w:szCs w:val="24"/>
        </w:rPr>
      </w:pPr>
    </w:p>
    <w:p w:rsidR="001E7E9D" w:rsidRPr="001D5B51" w:rsidRDefault="001E7E9D" w:rsidP="006C30ED">
      <w:pPr>
        <w:tabs>
          <w:tab w:val="left" w:pos="630"/>
        </w:tabs>
        <w:spacing w:before="20" w:after="20" w:line="360" w:lineRule="auto"/>
        <w:ind w:left="90"/>
        <w:rPr>
          <w:rFonts w:ascii="Times New Roman" w:hAnsi="Times New Roman"/>
          <w:sz w:val="24"/>
          <w:szCs w:val="24"/>
        </w:rPr>
      </w:pPr>
      <w:r w:rsidRPr="001D5B51">
        <w:rPr>
          <w:rFonts w:ascii="Times New Roman" w:hAnsi="Times New Roman"/>
          <w:sz w:val="24"/>
          <w:szCs w:val="24"/>
        </w:rPr>
        <w:t>On October 22, 2010, the Department of Labor proposed regulation 29 CFR 2510.3-21(c) under ERISA ("Proposed Regulation") that more broadly re-defines the circumstances under which a person is considered a fiduciary by reason of giving investment advice to a benefit plan or a plan’s participants and beneficiaries. The proposed rule intends to better protect participants from conflicts of interest and self-dealing by giving a broader and clearer understanding of when persons providing such advice are subject to ERISA’s fiduciary standards.</w:t>
      </w:r>
    </w:p>
    <w:p w:rsidR="001E7E9D" w:rsidRPr="001D5B51" w:rsidRDefault="001E7E9D" w:rsidP="006C30ED">
      <w:pPr>
        <w:tabs>
          <w:tab w:val="left" w:pos="630"/>
        </w:tabs>
        <w:spacing w:before="20" w:after="20" w:line="360" w:lineRule="auto"/>
        <w:ind w:left="90"/>
        <w:rPr>
          <w:rFonts w:ascii="Times New Roman" w:hAnsi="Times New Roman"/>
          <w:sz w:val="24"/>
          <w:szCs w:val="24"/>
        </w:rPr>
      </w:pPr>
    </w:p>
    <w:p w:rsidR="001E7E9D" w:rsidRDefault="001E7E9D" w:rsidP="006C30ED">
      <w:pPr>
        <w:tabs>
          <w:tab w:val="left" w:pos="630"/>
        </w:tabs>
        <w:spacing w:before="20" w:after="20" w:line="360" w:lineRule="auto"/>
        <w:ind w:left="90"/>
        <w:rPr>
          <w:rFonts w:ascii="Times New Roman" w:hAnsi="Times New Roman"/>
          <w:sz w:val="24"/>
          <w:szCs w:val="24"/>
        </w:rPr>
      </w:pPr>
    </w:p>
    <w:p w:rsidR="001E7E9D" w:rsidRDefault="001E7E9D" w:rsidP="006C30ED">
      <w:pPr>
        <w:tabs>
          <w:tab w:val="left" w:pos="630"/>
        </w:tabs>
        <w:spacing w:before="20" w:after="20" w:line="360" w:lineRule="auto"/>
        <w:ind w:left="90"/>
        <w:rPr>
          <w:rFonts w:ascii="Times New Roman" w:hAnsi="Times New Roman"/>
          <w:sz w:val="24"/>
          <w:szCs w:val="24"/>
        </w:rPr>
      </w:pPr>
    </w:p>
    <w:p w:rsidR="001E7E9D" w:rsidRDefault="001E7E9D" w:rsidP="006C30ED">
      <w:pPr>
        <w:tabs>
          <w:tab w:val="left" w:pos="630"/>
        </w:tabs>
        <w:spacing w:before="20" w:after="20" w:line="360" w:lineRule="auto"/>
        <w:ind w:left="90"/>
        <w:rPr>
          <w:rFonts w:ascii="Times New Roman" w:hAnsi="Times New Roman"/>
          <w:sz w:val="24"/>
          <w:szCs w:val="24"/>
        </w:rPr>
      </w:pPr>
    </w:p>
    <w:p w:rsidR="001E7E9D" w:rsidRDefault="001E7E9D" w:rsidP="006C30ED">
      <w:pPr>
        <w:tabs>
          <w:tab w:val="left" w:pos="630"/>
        </w:tabs>
        <w:spacing w:before="20" w:after="20" w:line="360" w:lineRule="auto"/>
        <w:ind w:left="90"/>
        <w:rPr>
          <w:rFonts w:ascii="Times New Roman" w:hAnsi="Times New Roman"/>
          <w:sz w:val="24"/>
          <w:szCs w:val="24"/>
        </w:rPr>
      </w:pPr>
    </w:p>
    <w:p w:rsidR="001E7E9D" w:rsidRPr="001D5B51" w:rsidRDefault="001E7E9D" w:rsidP="006C30ED">
      <w:pPr>
        <w:tabs>
          <w:tab w:val="left" w:pos="630"/>
        </w:tabs>
        <w:spacing w:before="20" w:after="20" w:line="360" w:lineRule="auto"/>
        <w:ind w:left="90"/>
        <w:rPr>
          <w:rFonts w:ascii="Times New Roman" w:hAnsi="Times New Roman"/>
          <w:sz w:val="24"/>
          <w:szCs w:val="24"/>
        </w:rPr>
      </w:pPr>
      <w:r w:rsidRPr="001D5B51">
        <w:rPr>
          <w:rFonts w:ascii="Times New Roman" w:hAnsi="Times New Roman"/>
          <w:sz w:val="24"/>
          <w:szCs w:val="24"/>
        </w:rPr>
        <w:t>The current regulation uses a five-part test to determine if a person should be deemed an investment fiduciary under ERISA section 3(21)[A](ii). If the person is able to avoid the application of any one of the five tests, he would effectively disclaim the investment fiduciary status.  The proposed regulation removes the most frequently used provisions of "regular basis", "primary basis" and "mutual agreement" for disclaiming the application</w:t>
      </w:r>
      <w:r>
        <w:rPr>
          <w:rFonts w:ascii="Times New Roman" w:hAnsi="Times New Roman"/>
          <w:sz w:val="24"/>
          <w:szCs w:val="24"/>
        </w:rPr>
        <w:t xml:space="preserve"> of fiduciary status and restoring</w:t>
      </w:r>
      <w:r w:rsidRPr="001D5B51">
        <w:rPr>
          <w:rFonts w:ascii="Times New Roman" w:hAnsi="Times New Roman"/>
          <w:sz w:val="24"/>
          <w:szCs w:val="24"/>
        </w:rPr>
        <w:t xml:space="preserve"> the principal based rule of conduct for the protection of plan participants and beneficiaries.</w:t>
      </w:r>
    </w:p>
    <w:p w:rsidR="001E7E9D" w:rsidRPr="001D5B51" w:rsidRDefault="001E7E9D" w:rsidP="006C30ED">
      <w:pPr>
        <w:tabs>
          <w:tab w:val="left" w:pos="630"/>
        </w:tabs>
        <w:spacing w:before="20" w:after="20" w:line="360" w:lineRule="auto"/>
        <w:ind w:left="90"/>
        <w:rPr>
          <w:rFonts w:ascii="Times New Roman" w:hAnsi="Times New Roman"/>
          <w:sz w:val="24"/>
          <w:szCs w:val="24"/>
        </w:rPr>
      </w:pPr>
    </w:p>
    <w:p w:rsidR="001E7E9D" w:rsidRDefault="001E7E9D" w:rsidP="006C30ED">
      <w:pPr>
        <w:tabs>
          <w:tab w:val="left" w:pos="630"/>
        </w:tabs>
        <w:spacing w:before="20" w:after="20" w:line="360" w:lineRule="auto"/>
        <w:ind w:left="90"/>
        <w:rPr>
          <w:rFonts w:ascii="Times New Roman" w:hAnsi="Times New Roman"/>
          <w:sz w:val="24"/>
          <w:szCs w:val="24"/>
        </w:rPr>
      </w:pPr>
      <w:r w:rsidRPr="001D5B51">
        <w:rPr>
          <w:rFonts w:ascii="Times New Roman" w:hAnsi="Times New Roman"/>
          <w:sz w:val="24"/>
          <w:szCs w:val="24"/>
        </w:rPr>
        <w:t xml:space="preserve">One class exemption under the proposed regulation regarding the redefinition of a "fiduciary" is often referred to as the "Sellers Exemption".  The supplemental information portion of the Proposed Regulation, section c - Limitations, describes the "Sellers Exemption" as follows:  </w:t>
      </w:r>
    </w:p>
    <w:p w:rsidR="001E7E9D" w:rsidRDefault="001E7E9D" w:rsidP="006C30ED">
      <w:pPr>
        <w:tabs>
          <w:tab w:val="left" w:pos="630"/>
        </w:tabs>
        <w:spacing w:before="20" w:after="20" w:line="240" w:lineRule="auto"/>
        <w:ind w:left="630" w:right="1170"/>
        <w:rPr>
          <w:rFonts w:ascii="Times New Roman" w:hAnsi="Times New Roman"/>
          <w:i/>
          <w:sz w:val="24"/>
          <w:szCs w:val="24"/>
        </w:rPr>
      </w:pPr>
      <w:r w:rsidRPr="00700C60">
        <w:rPr>
          <w:rFonts w:ascii="Times New Roman" w:hAnsi="Times New Roman"/>
          <w:i/>
          <w:sz w:val="24"/>
          <w:szCs w:val="24"/>
        </w:rPr>
        <w:t xml:space="preserve">"Paragraphs (c)(2) of the proposal sets forth certain limitations with respect to the application of paragraph (c)(1). Paragraph (c)(2)(i) provides that a person shall not be  considered to be a person described in paragraph (c)(1) with respect to the provision of  advice or recommendations if, with respect to a person other than a person described in paragraph (c)(1)(ii)(A), such person can demonstrate that the recipient of the advice knows or, under the circumstances, reasonably should know, that the person is providing the advice or making the recommendation in its capacity as a purchaser or seller of a security or other property, or as an agent of, or appraiser for, such a purchaser or seller, whose interests are adverse to the interests of the plan or its participants or  beneficiaries, and that the person is not undertaking to provide impartial investment advice. This provision reflects the Department’s understanding that, in the context of selling investments to a purchaser, a seller’s communications with the purchaser may involve advice or recommendations, within paragraph (c)(1)(i) of the proposal,  concerning the investments offered. The Department has determined that such communications ordinarily should not result in fiduciary status under the proposal if the purchaser knows of the person’s status as a seller whose interests are adverse to those of the purchaser, and that the person is not undertaking to provide impartial investment advice. However, the Department believes there is an inherent expectation of impartial investment advice from a person described in paragraph (c)(1)(ii)(A) (involving representations or acknowledgment of ERISA fiduciary status with respect to providing advice or recommendations). Accordingly, paragraph (c)(2)(i) does not apply to such a person."  </w:t>
      </w:r>
    </w:p>
    <w:p w:rsidR="001E7E9D" w:rsidRDefault="001E7E9D" w:rsidP="006C30ED">
      <w:pPr>
        <w:tabs>
          <w:tab w:val="left" w:pos="630"/>
        </w:tabs>
        <w:spacing w:before="20" w:after="20" w:line="240" w:lineRule="auto"/>
        <w:ind w:left="630" w:right="1170"/>
        <w:rPr>
          <w:rFonts w:ascii="Times New Roman" w:hAnsi="Times New Roman"/>
          <w:i/>
          <w:sz w:val="24"/>
          <w:szCs w:val="24"/>
        </w:rPr>
      </w:pPr>
    </w:p>
    <w:p w:rsidR="001E7E9D" w:rsidRPr="00700C60" w:rsidRDefault="001E7E9D" w:rsidP="006C30ED">
      <w:pPr>
        <w:tabs>
          <w:tab w:val="left" w:pos="630"/>
        </w:tabs>
        <w:spacing w:before="20" w:after="20" w:line="240" w:lineRule="auto"/>
        <w:ind w:left="630" w:right="1170"/>
        <w:rPr>
          <w:rFonts w:ascii="Times New Roman" w:hAnsi="Times New Roman"/>
          <w:i/>
          <w:sz w:val="24"/>
          <w:szCs w:val="24"/>
        </w:rPr>
      </w:pPr>
      <w:r w:rsidRPr="00700C60">
        <w:rPr>
          <w:rFonts w:ascii="Times New Roman" w:hAnsi="Times New Roman"/>
          <w:i/>
          <w:sz w:val="24"/>
          <w:szCs w:val="24"/>
        </w:rPr>
        <w:t>"The Department intends that a person seeking to avoid fiduciary status under the proposal by reason of the application of paragraph (c)(2)(i) must demonstrate compliance with all applicable requirements of the limitation. "</w:t>
      </w:r>
    </w:p>
    <w:p w:rsidR="001E7E9D" w:rsidRPr="001D5B51" w:rsidRDefault="001E7E9D" w:rsidP="006C30ED">
      <w:pPr>
        <w:tabs>
          <w:tab w:val="left" w:pos="630"/>
        </w:tabs>
        <w:spacing w:before="20" w:after="20" w:line="360" w:lineRule="auto"/>
        <w:ind w:left="630" w:right="1170"/>
        <w:rPr>
          <w:rFonts w:ascii="Times New Roman" w:hAnsi="Times New Roman"/>
          <w:sz w:val="24"/>
          <w:szCs w:val="24"/>
        </w:rPr>
      </w:pPr>
    </w:p>
    <w:p w:rsidR="001E7E9D" w:rsidRPr="001D5B51" w:rsidRDefault="001E7E9D" w:rsidP="006C30ED">
      <w:pPr>
        <w:tabs>
          <w:tab w:val="left" w:pos="630"/>
        </w:tabs>
        <w:spacing w:before="20" w:after="20" w:line="360" w:lineRule="auto"/>
        <w:ind w:left="90"/>
        <w:rPr>
          <w:rFonts w:ascii="Times New Roman" w:hAnsi="Times New Roman"/>
          <w:sz w:val="24"/>
          <w:szCs w:val="24"/>
        </w:rPr>
      </w:pPr>
      <w:r w:rsidRPr="001D5B51">
        <w:rPr>
          <w:rFonts w:ascii="Times New Roman" w:hAnsi="Times New Roman"/>
          <w:sz w:val="24"/>
          <w:szCs w:val="24"/>
        </w:rPr>
        <w:t>A plan sponsor or plan administrator is expected to prudently select and monitor service providers as well as the investment options made available under a retirement plan.  To that end it is a good policy to encourage vendor and investment diversity so that plan sponsors will have more, and not less, choices to prudently evaluate, analyze, and compare in meeting their fiduciary responsibility.  Retirement assets are expected to continue to grow and dominate investment assets and the Seller Exemption will not stifle product innovation  and competition so that better investment products at more competitive prices will become available.</w:t>
      </w:r>
      <w:r w:rsidRPr="00700C60">
        <w:rPr>
          <w:rFonts w:ascii="Times New Roman" w:hAnsi="Times New Roman"/>
          <w:sz w:val="24"/>
          <w:szCs w:val="24"/>
        </w:rPr>
        <w:t xml:space="preserve"> </w:t>
      </w:r>
      <w:r w:rsidRPr="001D5B51">
        <w:rPr>
          <w:rFonts w:ascii="Times New Roman" w:hAnsi="Times New Roman"/>
          <w:sz w:val="24"/>
          <w:szCs w:val="24"/>
        </w:rPr>
        <w:t>Thus, it is reasonable to exempt a class of individuals ("</w:t>
      </w:r>
      <w:r>
        <w:rPr>
          <w:rFonts w:ascii="Times New Roman" w:hAnsi="Times New Roman"/>
          <w:sz w:val="24"/>
          <w:szCs w:val="24"/>
        </w:rPr>
        <w:t>Seller" or "S</w:t>
      </w:r>
      <w:r w:rsidRPr="001D5B51">
        <w:rPr>
          <w:rFonts w:ascii="Times New Roman" w:hAnsi="Times New Roman"/>
          <w:sz w:val="24"/>
          <w:szCs w:val="24"/>
        </w:rPr>
        <w:t xml:space="preserve">ellers") </w:t>
      </w:r>
      <w:r>
        <w:rPr>
          <w:rFonts w:ascii="Times New Roman" w:hAnsi="Times New Roman"/>
          <w:sz w:val="24"/>
          <w:szCs w:val="24"/>
        </w:rPr>
        <w:t>who does not represent itself</w:t>
      </w:r>
      <w:r w:rsidRPr="001D5B51">
        <w:rPr>
          <w:rFonts w:ascii="Times New Roman" w:hAnsi="Times New Roman"/>
          <w:sz w:val="24"/>
          <w:szCs w:val="24"/>
        </w:rPr>
        <w:t xml:space="preserve"> as investment fiduciaries under ERISA section 3(21)[A](ii) and with a sole interest of selling and marketing their investment products and services.  </w:t>
      </w:r>
    </w:p>
    <w:p w:rsidR="001E7E9D" w:rsidRPr="001D5B51" w:rsidRDefault="001E7E9D" w:rsidP="006C30ED">
      <w:pPr>
        <w:tabs>
          <w:tab w:val="left" w:pos="630"/>
        </w:tabs>
        <w:spacing w:before="20" w:after="20" w:line="360" w:lineRule="auto"/>
        <w:ind w:left="90"/>
        <w:rPr>
          <w:rFonts w:ascii="Times New Roman" w:hAnsi="Times New Roman"/>
          <w:sz w:val="24"/>
          <w:szCs w:val="24"/>
        </w:rPr>
      </w:pPr>
    </w:p>
    <w:p w:rsidR="001E7E9D" w:rsidRPr="001D5B51" w:rsidRDefault="001E7E9D" w:rsidP="006C30ED">
      <w:pPr>
        <w:tabs>
          <w:tab w:val="left" w:pos="630"/>
        </w:tabs>
        <w:spacing w:before="20" w:after="20" w:line="360" w:lineRule="auto"/>
        <w:ind w:left="90"/>
        <w:rPr>
          <w:rFonts w:ascii="Times New Roman" w:hAnsi="Times New Roman"/>
          <w:sz w:val="24"/>
          <w:szCs w:val="24"/>
        </w:rPr>
      </w:pPr>
      <w:r>
        <w:rPr>
          <w:rFonts w:ascii="Times New Roman" w:hAnsi="Times New Roman"/>
          <w:sz w:val="24"/>
          <w:szCs w:val="24"/>
        </w:rPr>
        <w:t>H</w:t>
      </w:r>
      <w:r w:rsidRPr="001D5B51">
        <w:rPr>
          <w:rFonts w:ascii="Times New Roman" w:hAnsi="Times New Roman"/>
          <w:sz w:val="24"/>
          <w:szCs w:val="24"/>
        </w:rPr>
        <w:t>owever, the Department's attempt to promote the interest of plan participants and beneficiaries</w:t>
      </w:r>
      <w:r>
        <w:rPr>
          <w:rFonts w:ascii="Times New Roman" w:hAnsi="Times New Roman"/>
          <w:sz w:val="24"/>
          <w:szCs w:val="24"/>
        </w:rPr>
        <w:t xml:space="preserve"> through</w:t>
      </w:r>
      <w:r w:rsidRPr="001D5B51">
        <w:rPr>
          <w:rFonts w:ascii="Times New Roman" w:hAnsi="Times New Roman"/>
          <w:sz w:val="24"/>
          <w:szCs w:val="24"/>
        </w:rPr>
        <w:t xml:space="preserve"> the Sellers Exemption has created significant unintended consequences which </w:t>
      </w:r>
      <w:r>
        <w:rPr>
          <w:rFonts w:ascii="Times New Roman" w:hAnsi="Times New Roman"/>
          <w:sz w:val="24"/>
          <w:szCs w:val="24"/>
        </w:rPr>
        <w:t>may have</w:t>
      </w:r>
      <w:r w:rsidRPr="001D5B51">
        <w:rPr>
          <w:rFonts w:ascii="Times New Roman" w:hAnsi="Times New Roman"/>
          <w:sz w:val="24"/>
          <w:szCs w:val="24"/>
        </w:rPr>
        <w:t xml:space="preserve"> defeated some of the Department's stated objectives for the Proposed Regulation.  The Proposed Regulations states that if the Seller "can demonstrate that the recipient of the advice knows or, under the circumstances, reasonably should know, that the person is providing the advice or making the recommendation in its capacity as a purchaser or seller of a security or other property, or as an agent of, or appraiser for, such a purchaser or seller, whose interests are adverse to the interests of the plan or its participants or  beneficiaries, and that the person is not undertaking to provide impartial investment advice."  The low burden of meeting this Seller Exemption is 1) </w:t>
      </w:r>
      <w:r>
        <w:rPr>
          <w:rFonts w:ascii="Times New Roman" w:hAnsi="Times New Roman"/>
          <w:sz w:val="24"/>
          <w:szCs w:val="24"/>
        </w:rPr>
        <w:t>the "</w:t>
      </w:r>
      <w:r w:rsidRPr="001D5B51">
        <w:rPr>
          <w:rFonts w:ascii="Times New Roman" w:hAnsi="Times New Roman"/>
          <w:sz w:val="24"/>
          <w:szCs w:val="24"/>
        </w:rPr>
        <w:t>demonstration</w:t>
      </w:r>
      <w:r>
        <w:rPr>
          <w:rFonts w:ascii="Times New Roman" w:hAnsi="Times New Roman"/>
          <w:sz w:val="24"/>
          <w:szCs w:val="24"/>
        </w:rPr>
        <w:t>"</w:t>
      </w:r>
      <w:r w:rsidRPr="001D5B51">
        <w:rPr>
          <w:rFonts w:ascii="Times New Roman" w:hAnsi="Times New Roman"/>
          <w:sz w:val="24"/>
          <w:szCs w:val="24"/>
        </w:rPr>
        <w:t xml:space="preserve"> and </w:t>
      </w:r>
      <w:r>
        <w:rPr>
          <w:rFonts w:ascii="Times New Roman" w:hAnsi="Times New Roman"/>
          <w:sz w:val="24"/>
          <w:szCs w:val="24"/>
        </w:rPr>
        <w:t>"</w:t>
      </w:r>
      <w:r w:rsidRPr="001D5B51">
        <w:rPr>
          <w:rFonts w:ascii="Times New Roman" w:hAnsi="Times New Roman"/>
          <w:sz w:val="24"/>
          <w:szCs w:val="24"/>
        </w:rPr>
        <w:t>under the circumstances</w:t>
      </w:r>
      <w:r>
        <w:rPr>
          <w:rFonts w:ascii="Times New Roman" w:hAnsi="Times New Roman"/>
          <w:sz w:val="24"/>
          <w:szCs w:val="24"/>
        </w:rPr>
        <w:t>" phrase</w:t>
      </w:r>
      <w:r w:rsidRPr="001D5B51">
        <w:rPr>
          <w:rFonts w:ascii="Times New Roman" w:hAnsi="Times New Roman"/>
          <w:sz w:val="24"/>
          <w:szCs w:val="24"/>
        </w:rPr>
        <w:t xml:space="preserve">, and </w:t>
      </w:r>
      <w:r>
        <w:rPr>
          <w:rFonts w:ascii="Times New Roman" w:hAnsi="Times New Roman"/>
          <w:sz w:val="24"/>
          <w:szCs w:val="24"/>
        </w:rPr>
        <w:t>2) the recipient knows or</w:t>
      </w:r>
      <w:r w:rsidRPr="001D5B51">
        <w:rPr>
          <w:rFonts w:ascii="Times New Roman" w:hAnsi="Times New Roman"/>
          <w:sz w:val="24"/>
          <w:szCs w:val="24"/>
        </w:rPr>
        <w:t>, under the circumstances, reasonably should know ("KORSK Standard")</w:t>
      </w:r>
      <w:r>
        <w:rPr>
          <w:rFonts w:ascii="Times New Roman" w:hAnsi="Times New Roman"/>
          <w:sz w:val="24"/>
          <w:szCs w:val="24"/>
        </w:rPr>
        <w:t xml:space="preserve"> clause.</w:t>
      </w:r>
    </w:p>
    <w:p w:rsidR="001E7E9D" w:rsidRPr="001D5B51" w:rsidRDefault="001E7E9D" w:rsidP="006C30ED">
      <w:pPr>
        <w:tabs>
          <w:tab w:val="left" w:pos="630"/>
        </w:tabs>
        <w:spacing w:before="20" w:after="20" w:line="360" w:lineRule="auto"/>
        <w:ind w:left="90"/>
        <w:rPr>
          <w:rFonts w:ascii="Times New Roman" w:hAnsi="Times New Roman"/>
          <w:sz w:val="24"/>
          <w:szCs w:val="24"/>
        </w:rPr>
      </w:pPr>
    </w:p>
    <w:p w:rsidR="001E7E9D" w:rsidRPr="001D5B51" w:rsidRDefault="001E7E9D" w:rsidP="006C30ED">
      <w:pPr>
        <w:tabs>
          <w:tab w:val="left" w:pos="630"/>
        </w:tabs>
        <w:spacing w:before="20" w:after="20" w:line="360" w:lineRule="auto"/>
        <w:ind w:left="90"/>
        <w:rPr>
          <w:rFonts w:ascii="Times New Roman" w:hAnsi="Times New Roman"/>
          <w:sz w:val="24"/>
          <w:szCs w:val="24"/>
        </w:rPr>
      </w:pPr>
      <w:r w:rsidRPr="001D5B51">
        <w:rPr>
          <w:rFonts w:ascii="Times New Roman" w:hAnsi="Times New Roman"/>
          <w:sz w:val="24"/>
          <w:szCs w:val="24"/>
        </w:rPr>
        <w:t>1)</w:t>
      </w:r>
      <w:r w:rsidRPr="001D5B51">
        <w:rPr>
          <w:rFonts w:ascii="Times New Roman" w:hAnsi="Times New Roman"/>
          <w:sz w:val="24"/>
          <w:szCs w:val="24"/>
        </w:rPr>
        <w:tab/>
        <w:t>Demonstrate and under the circumstances</w:t>
      </w:r>
    </w:p>
    <w:p w:rsidR="001E7E9D" w:rsidRDefault="001E7E9D" w:rsidP="006C30ED">
      <w:pPr>
        <w:tabs>
          <w:tab w:val="left" w:pos="630"/>
        </w:tabs>
        <w:spacing w:before="20" w:after="20" w:line="360" w:lineRule="auto"/>
        <w:ind w:left="630"/>
        <w:rPr>
          <w:rFonts w:ascii="Times New Roman" w:hAnsi="Times New Roman"/>
          <w:sz w:val="24"/>
          <w:szCs w:val="24"/>
        </w:rPr>
      </w:pPr>
      <w:r w:rsidRPr="001D5B51">
        <w:rPr>
          <w:rFonts w:ascii="Times New Roman" w:hAnsi="Times New Roman"/>
          <w:sz w:val="24"/>
          <w:szCs w:val="24"/>
        </w:rPr>
        <w:t xml:space="preserve">The Department did not offer any standard, benchmark, guidance </w:t>
      </w:r>
      <w:r>
        <w:rPr>
          <w:rFonts w:ascii="Times New Roman" w:hAnsi="Times New Roman"/>
          <w:sz w:val="24"/>
          <w:szCs w:val="24"/>
        </w:rPr>
        <w:t>or</w:t>
      </w:r>
      <w:r w:rsidRPr="001D5B51">
        <w:rPr>
          <w:rFonts w:ascii="Times New Roman" w:hAnsi="Times New Roman"/>
          <w:sz w:val="24"/>
          <w:szCs w:val="24"/>
        </w:rPr>
        <w:t xml:space="preserve"> bright line test to a Seller so that the Seller can confidently say, or demonstrate, that the recipient of the advice knows or, under the circumstances, reasonably should know, that the Seller is not a fiduciary and his conduct does not have to rise to the "sole and exclusive" standards required under ERISA.  In fact, the demonstration should be so clear that the recipient of the advice knows or, under the circumstances, reasonably should know, that the Seller interests are adverse to, inconsistent with or not in the sole interests of the plan or its </w:t>
      </w:r>
    </w:p>
    <w:p w:rsidR="001E7E9D" w:rsidRDefault="001E7E9D" w:rsidP="006C30ED">
      <w:pPr>
        <w:tabs>
          <w:tab w:val="left" w:pos="630"/>
        </w:tabs>
        <w:spacing w:before="20" w:after="20" w:line="360" w:lineRule="auto"/>
        <w:ind w:left="630"/>
        <w:rPr>
          <w:rFonts w:ascii="Times New Roman" w:hAnsi="Times New Roman"/>
          <w:sz w:val="24"/>
          <w:szCs w:val="24"/>
        </w:rPr>
      </w:pPr>
    </w:p>
    <w:p w:rsidR="001E7E9D" w:rsidRPr="001D5B51" w:rsidRDefault="001E7E9D" w:rsidP="006C30ED">
      <w:pPr>
        <w:tabs>
          <w:tab w:val="left" w:pos="630"/>
        </w:tabs>
        <w:spacing w:before="20" w:after="20" w:line="360" w:lineRule="auto"/>
        <w:ind w:left="630"/>
        <w:rPr>
          <w:rFonts w:ascii="Times New Roman" w:hAnsi="Times New Roman"/>
          <w:sz w:val="24"/>
          <w:szCs w:val="24"/>
        </w:rPr>
      </w:pPr>
      <w:r w:rsidRPr="001D5B51">
        <w:rPr>
          <w:rFonts w:ascii="Times New Roman" w:hAnsi="Times New Roman"/>
          <w:sz w:val="24"/>
          <w:szCs w:val="24"/>
        </w:rPr>
        <w:t>participants or  beneficiaries, and that the Seller is not required or expected to provide impartial investment advice.  The current language under the Proposed Regulation leaves the "demonstration" in the hands of the Seller</w:t>
      </w:r>
      <w:r>
        <w:rPr>
          <w:rFonts w:ascii="Times New Roman" w:hAnsi="Times New Roman"/>
          <w:sz w:val="24"/>
          <w:szCs w:val="24"/>
        </w:rPr>
        <w:t>s and provides</w:t>
      </w:r>
      <w:r w:rsidRPr="001D5B51">
        <w:rPr>
          <w:rFonts w:ascii="Times New Roman" w:hAnsi="Times New Roman"/>
          <w:sz w:val="24"/>
          <w:szCs w:val="24"/>
        </w:rPr>
        <w:t xml:space="preserve"> Seller</w:t>
      </w:r>
      <w:r>
        <w:rPr>
          <w:rFonts w:ascii="Times New Roman" w:hAnsi="Times New Roman"/>
          <w:sz w:val="24"/>
          <w:szCs w:val="24"/>
        </w:rPr>
        <w:t>s</w:t>
      </w:r>
      <w:r w:rsidRPr="001D5B51">
        <w:rPr>
          <w:rFonts w:ascii="Times New Roman" w:hAnsi="Times New Roman"/>
          <w:sz w:val="24"/>
          <w:szCs w:val="24"/>
        </w:rPr>
        <w:t xml:space="preserve"> the discretion to interpret their own actions and inactions to suggest if this low standard has been met to relief them from being considered investment fiduciaries under ERISA section 3(21)[A](ii).</w:t>
      </w:r>
    </w:p>
    <w:p w:rsidR="001E7E9D" w:rsidRPr="001D5B51" w:rsidRDefault="001E7E9D" w:rsidP="006C30ED">
      <w:pPr>
        <w:tabs>
          <w:tab w:val="left" w:pos="630"/>
        </w:tabs>
        <w:spacing w:before="20" w:after="20" w:line="360" w:lineRule="auto"/>
        <w:ind w:left="90"/>
        <w:rPr>
          <w:rFonts w:ascii="Times New Roman" w:hAnsi="Times New Roman"/>
          <w:sz w:val="24"/>
          <w:szCs w:val="24"/>
        </w:rPr>
      </w:pPr>
    </w:p>
    <w:p w:rsidR="001E7E9D" w:rsidRPr="001D5B51" w:rsidRDefault="001E7E9D" w:rsidP="006C30ED">
      <w:pPr>
        <w:tabs>
          <w:tab w:val="left" w:pos="630"/>
        </w:tabs>
        <w:spacing w:before="20" w:after="20" w:line="360" w:lineRule="auto"/>
        <w:ind w:left="630"/>
        <w:rPr>
          <w:rFonts w:ascii="Times New Roman" w:hAnsi="Times New Roman"/>
          <w:sz w:val="24"/>
          <w:szCs w:val="24"/>
        </w:rPr>
      </w:pPr>
      <w:r>
        <w:rPr>
          <w:rFonts w:ascii="Times New Roman" w:hAnsi="Times New Roman"/>
          <w:sz w:val="24"/>
          <w:szCs w:val="24"/>
        </w:rPr>
        <w:t xml:space="preserve">The </w:t>
      </w:r>
      <w:r w:rsidRPr="001D5B51">
        <w:rPr>
          <w:rFonts w:ascii="Times New Roman" w:hAnsi="Times New Roman"/>
          <w:sz w:val="24"/>
          <w:szCs w:val="24"/>
        </w:rPr>
        <w:t>"</w:t>
      </w:r>
      <w:r>
        <w:rPr>
          <w:rFonts w:ascii="Times New Roman" w:hAnsi="Times New Roman"/>
          <w:sz w:val="24"/>
          <w:szCs w:val="24"/>
        </w:rPr>
        <w:t>u</w:t>
      </w:r>
      <w:r w:rsidRPr="001D5B51">
        <w:rPr>
          <w:rFonts w:ascii="Times New Roman" w:hAnsi="Times New Roman"/>
          <w:sz w:val="24"/>
          <w:szCs w:val="24"/>
        </w:rPr>
        <w:t xml:space="preserve">nder the circumstances" </w:t>
      </w:r>
      <w:r>
        <w:rPr>
          <w:rFonts w:ascii="Times New Roman" w:hAnsi="Times New Roman"/>
          <w:sz w:val="24"/>
          <w:szCs w:val="24"/>
        </w:rPr>
        <w:t>phrase</w:t>
      </w:r>
      <w:r w:rsidRPr="001D5B51">
        <w:rPr>
          <w:rFonts w:ascii="Times New Roman" w:hAnsi="Times New Roman"/>
          <w:sz w:val="24"/>
          <w:szCs w:val="24"/>
        </w:rPr>
        <w:t xml:space="preserve"> is also troubling.  If the Seller fails to demonstrate that the recipient of advice knows that t</w:t>
      </w:r>
      <w:r>
        <w:rPr>
          <w:rFonts w:ascii="Times New Roman" w:hAnsi="Times New Roman"/>
          <w:sz w:val="24"/>
          <w:szCs w:val="24"/>
        </w:rPr>
        <w:t>he Seller is not a fiduciary the</w:t>
      </w:r>
      <w:r w:rsidRPr="001D5B51">
        <w:rPr>
          <w:rFonts w:ascii="Times New Roman" w:hAnsi="Times New Roman"/>
          <w:sz w:val="24"/>
          <w:szCs w:val="24"/>
        </w:rPr>
        <w:t>n the Seller must demonstrate that "under the circumstance" the recipient of advice should know that the Seller is not acting as an investment fiduciary.</w:t>
      </w:r>
      <w:r>
        <w:rPr>
          <w:rFonts w:ascii="Times New Roman" w:hAnsi="Times New Roman"/>
          <w:sz w:val="24"/>
          <w:szCs w:val="24"/>
        </w:rPr>
        <w:t xml:space="preserve">  The Proposed Regulation fails</w:t>
      </w:r>
      <w:r w:rsidRPr="001D5B51">
        <w:rPr>
          <w:rFonts w:ascii="Times New Roman" w:hAnsi="Times New Roman"/>
          <w:sz w:val="24"/>
          <w:szCs w:val="24"/>
        </w:rPr>
        <w:t xml:space="preserve"> to </w:t>
      </w:r>
      <w:r>
        <w:rPr>
          <w:rFonts w:ascii="Times New Roman" w:hAnsi="Times New Roman"/>
          <w:sz w:val="24"/>
          <w:szCs w:val="24"/>
        </w:rPr>
        <w:t>define</w:t>
      </w:r>
      <w:r w:rsidRPr="001D5B51">
        <w:rPr>
          <w:rFonts w:ascii="Times New Roman" w:hAnsi="Times New Roman"/>
          <w:sz w:val="24"/>
          <w:szCs w:val="24"/>
        </w:rPr>
        <w:t xml:space="preserve"> the prevailing circumstances necessary for the Seller</w:t>
      </w:r>
      <w:r>
        <w:rPr>
          <w:rFonts w:ascii="Times New Roman" w:hAnsi="Times New Roman"/>
          <w:sz w:val="24"/>
          <w:szCs w:val="24"/>
        </w:rPr>
        <w:t>s</w:t>
      </w:r>
      <w:r w:rsidRPr="001D5B51">
        <w:rPr>
          <w:rFonts w:ascii="Times New Roman" w:hAnsi="Times New Roman"/>
          <w:sz w:val="24"/>
          <w:szCs w:val="24"/>
        </w:rPr>
        <w:t xml:space="preserve"> to demonstrate that the recipient of advice should have known that the Seller</w:t>
      </w:r>
      <w:r>
        <w:rPr>
          <w:rFonts w:ascii="Times New Roman" w:hAnsi="Times New Roman"/>
          <w:sz w:val="24"/>
          <w:szCs w:val="24"/>
        </w:rPr>
        <w:t xml:space="preserve"> is </w:t>
      </w:r>
      <w:r w:rsidRPr="001D5B51">
        <w:rPr>
          <w:rFonts w:ascii="Times New Roman" w:hAnsi="Times New Roman"/>
          <w:sz w:val="24"/>
          <w:szCs w:val="24"/>
        </w:rPr>
        <w:t>not a</w:t>
      </w:r>
      <w:r>
        <w:rPr>
          <w:rFonts w:ascii="Times New Roman" w:hAnsi="Times New Roman"/>
          <w:sz w:val="24"/>
          <w:szCs w:val="24"/>
        </w:rPr>
        <w:t>n ERISA</w:t>
      </w:r>
      <w:r w:rsidRPr="001D5B51">
        <w:rPr>
          <w:rFonts w:ascii="Times New Roman" w:hAnsi="Times New Roman"/>
          <w:sz w:val="24"/>
          <w:szCs w:val="24"/>
        </w:rPr>
        <w:t xml:space="preserve"> fiduciary.</w:t>
      </w:r>
    </w:p>
    <w:p w:rsidR="001E7E9D" w:rsidRPr="001D5B51" w:rsidRDefault="001E7E9D" w:rsidP="006C30ED">
      <w:pPr>
        <w:tabs>
          <w:tab w:val="left" w:pos="630"/>
        </w:tabs>
        <w:spacing w:before="20" w:after="20" w:line="360" w:lineRule="auto"/>
        <w:ind w:left="90"/>
        <w:rPr>
          <w:rFonts w:ascii="Times New Roman" w:hAnsi="Times New Roman"/>
          <w:sz w:val="24"/>
          <w:szCs w:val="24"/>
        </w:rPr>
      </w:pPr>
      <w:r w:rsidRPr="001D5B51">
        <w:rPr>
          <w:rFonts w:ascii="Times New Roman" w:hAnsi="Times New Roman"/>
          <w:sz w:val="24"/>
          <w:szCs w:val="24"/>
        </w:rPr>
        <w:t xml:space="preserve"> </w:t>
      </w:r>
    </w:p>
    <w:p w:rsidR="001E7E9D" w:rsidRPr="001D5B51" w:rsidRDefault="001E7E9D" w:rsidP="006C30ED">
      <w:pPr>
        <w:tabs>
          <w:tab w:val="left" w:pos="630"/>
        </w:tabs>
        <w:spacing w:before="20" w:after="20" w:line="360" w:lineRule="auto"/>
        <w:ind w:left="90"/>
        <w:rPr>
          <w:rFonts w:ascii="Times New Roman" w:hAnsi="Times New Roman"/>
          <w:sz w:val="24"/>
          <w:szCs w:val="24"/>
        </w:rPr>
      </w:pPr>
      <w:r w:rsidRPr="001D5B51">
        <w:rPr>
          <w:rFonts w:ascii="Times New Roman" w:hAnsi="Times New Roman"/>
          <w:sz w:val="24"/>
          <w:szCs w:val="24"/>
        </w:rPr>
        <w:t>2)</w:t>
      </w:r>
      <w:r w:rsidRPr="001D5B51">
        <w:rPr>
          <w:rFonts w:ascii="Times New Roman" w:hAnsi="Times New Roman"/>
          <w:sz w:val="24"/>
          <w:szCs w:val="24"/>
        </w:rPr>
        <w:tab/>
        <w:t>KORSK Standard</w:t>
      </w:r>
    </w:p>
    <w:p w:rsidR="001E7E9D" w:rsidRDefault="001E7E9D" w:rsidP="006C30ED">
      <w:pPr>
        <w:tabs>
          <w:tab w:val="left" w:pos="630"/>
        </w:tabs>
        <w:spacing w:before="20" w:after="20" w:line="360" w:lineRule="auto"/>
        <w:ind w:left="630"/>
        <w:rPr>
          <w:rFonts w:ascii="Times New Roman" w:hAnsi="Times New Roman"/>
          <w:sz w:val="24"/>
          <w:szCs w:val="24"/>
        </w:rPr>
      </w:pPr>
      <w:r w:rsidRPr="001D5B51">
        <w:rPr>
          <w:rFonts w:ascii="Times New Roman" w:hAnsi="Times New Roman"/>
          <w:sz w:val="24"/>
          <w:szCs w:val="24"/>
        </w:rPr>
        <w:t xml:space="preserve">The recipient of the advice is also not informed of or given basic guidance under the Proposed Regulation to differentiate between a Seller and an ERISA section 3(21)[A](ii) investment advisor.  The KORSK standard is unclear and uncertain.  The determination of </w:t>
      </w:r>
      <w:r>
        <w:rPr>
          <w:rFonts w:ascii="Times New Roman" w:hAnsi="Times New Roman"/>
          <w:sz w:val="24"/>
          <w:szCs w:val="24"/>
        </w:rPr>
        <w:t>"</w:t>
      </w:r>
      <w:r w:rsidRPr="001D5B51">
        <w:rPr>
          <w:rFonts w:ascii="Times New Roman" w:hAnsi="Times New Roman"/>
          <w:sz w:val="24"/>
          <w:szCs w:val="24"/>
        </w:rPr>
        <w:t>knowing</w:t>
      </w:r>
      <w:r>
        <w:rPr>
          <w:rFonts w:ascii="Times New Roman" w:hAnsi="Times New Roman"/>
          <w:sz w:val="24"/>
          <w:szCs w:val="24"/>
        </w:rPr>
        <w:t>" under KORSK</w:t>
      </w:r>
      <w:r w:rsidRPr="001D5B51">
        <w:rPr>
          <w:rFonts w:ascii="Times New Roman" w:hAnsi="Times New Roman"/>
          <w:sz w:val="24"/>
          <w:szCs w:val="24"/>
        </w:rPr>
        <w:t xml:space="preserve"> rests with the Seller and not the recipient of advice.  The recipient of advice is an ERISA fiduciary and carries the burden and duties associated with being a fiduciary.  As such, the Proposed Regulation should offer clear and ascertainable standards for the Seller to demonstrate and for the recipient of advice to differentiate and acknowledge a seller of services and investment from an ERISA investment fiduciary.  </w:t>
      </w:r>
    </w:p>
    <w:p w:rsidR="001E7E9D" w:rsidRPr="001D5B51" w:rsidRDefault="001E7E9D" w:rsidP="006C30ED">
      <w:pPr>
        <w:tabs>
          <w:tab w:val="left" w:pos="630"/>
        </w:tabs>
        <w:spacing w:before="20" w:after="20" w:line="360" w:lineRule="auto"/>
        <w:ind w:left="630"/>
        <w:rPr>
          <w:rFonts w:ascii="Times New Roman" w:hAnsi="Times New Roman"/>
          <w:sz w:val="24"/>
          <w:szCs w:val="24"/>
        </w:rPr>
      </w:pPr>
    </w:p>
    <w:p w:rsidR="001E7E9D" w:rsidRDefault="001E7E9D" w:rsidP="006C30ED">
      <w:pPr>
        <w:tabs>
          <w:tab w:val="left" w:pos="630"/>
        </w:tabs>
        <w:spacing w:before="20" w:after="20" w:line="360" w:lineRule="auto"/>
        <w:ind w:left="630"/>
        <w:rPr>
          <w:rFonts w:ascii="Times New Roman" w:hAnsi="Times New Roman"/>
          <w:sz w:val="24"/>
          <w:szCs w:val="24"/>
        </w:rPr>
      </w:pPr>
    </w:p>
    <w:p w:rsidR="001E7E9D" w:rsidRDefault="001E7E9D" w:rsidP="006C30ED">
      <w:pPr>
        <w:tabs>
          <w:tab w:val="left" w:pos="630"/>
        </w:tabs>
        <w:spacing w:before="20" w:after="20" w:line="360" w:lineRule="auto"/>
        <w:ind w:left="630"/>
        <w:rPr>
          <w:rFonts w:ascii="Times New Roman" w:hAnsi="Times New Roman"/>
          <w:sz w:val="24"/>
          <w:szCs w:val="24"/>
        </w:rPr>
      </w:pPr>
    </w:p>
    <w:p w:rsidR="001E7E9D" w:rsidRDefault="001E7E9D" w:rsidP="006C30ED">
      <w:pPr>
        <w:tabs>
          <w:tab w:val="left" w:pos="630"/>
        </w:tabs>
        <w:spacing w:before="20" w:after="20" w:line="360" w:lineRule="auto"/>
        <w:ind w:left="630"/>
        <w:rPr>
          <w:rFonts w:ascii="Times New Roman" w:hAnsi="Times New Roman"/>
          <w:sz w:val="24"/>
          <w:szCs w:val="24"/>
        </w:rPr>
      </w:pPr>
    </w:p>
    <w:p w:rsidR="001E7E9D" w:rsidRDefault="001E7E9D" w:rsidP="006C30ED">
      <w:pPr>
        <w:tabs>
          <w:tab w:val="left" w:pos="630"/>
        </w:tabs>
        <w:spacing w:before="20" w:after="20" w:line="360" w:lineRule="auto"/>
        <w:ind w:left="630"/>
        <w:rPr>
          <w:rFonts w:ascii="Times New Roman" w:hAnsi="Times New Roman"/>
          <w:sz w:val="24"/>
          <w:szCs w:val="24"/>
        </w:rPr>
      </w:pPr>
    </w:p>
    <w:p w:rsidR="001E7E9D" w:rsidRDefault="001E7E9D" w:rsidP="006C30ED">
      <w:pPr>
        <w:tabs>
          <w:tab w:val="left" w:pos="630"/>
        </w:tabs>
        <w:spacing w:before="20" w:after="20" w:line="360" w:lineRule="auto"/>
        <w:ind w:left="630"/>
        <w:rPr>
          <w:rFonts w:ascii="Times New Roman" w:hAnsi="Times New Roman"/>
          <w:sz w:val="24"/>
          <w:szCs w:val="24"/>
        </w:rPr>
      </w:pPr>
    </w:p>
    <w:p w:rsidR="001E7E9D" w:rsidRDefault="001E7E9D" w:rsidP="00E35782">
      <w:pPr>
        <w:tabs>
          <w:tab w:val="left" w:pos="630"/>
        </w:tabs>
        <w:spacing w:before="20" w:after="20" w:line="360" w:lineRule="auto"/>
        <w:rPr>
          <w:rFonts w:ascii="Times New Roman" w:hAnsi="Times New Roman"/>
          <w:sz w:val="24"/>
          <w:szCs w:val="24"/>
        </w:rPr>
      </w:pPr>
      <w:r w:rsidRPr="001D5B51">
        <w:rPr>
          <w:rFonts w:ascii="Times New Roman" w:hAnsi="Times New Roman"/>
          <w:sz w:val="24"/>
          <w:szCs w:val="24"/>
        </w:rPr>
        <w:t xml:space="preserve">ERISA's promotion and protection of the interests of participants in employee benefit plans and their beneficiaries is based </w:t>
      </w:r>
      <w:r>
        <w:rPr>
          <w:rFonts w:ascii="Times New Roman" w:hAnsi="Times New Roman"/>
          <w:sz w:val="24"/>
          <w:szCs w:val="24"/>
        </w:rPr>
        <w:t>up</w:t>
      </w:r>
      <w:r w:rsidRPr="001D5B51">
        <w:rPr>
          <w:rFonts w:ascii="Times New Roman" w:hAnsi="Times New Roman"/>
          <w:sz w:val="24"/>
          <w:szCs w:val="24"/>
        </w:rPr>
        <w:t xml:space="preserve">on holding plan sponsor and plan fiduciaries responsible and liable for their </w:t>
      </w:r>
      <w:r>
        <w:rPr>
          <w:rFonts w:ascii="Times New Roman" w:hAnsi="Times New Roman"/>
          <w:sz w:val="24"/>
          <w:szCs w:val="24"/>
        </w:rPr>
        <w:t>behavior.  The set of principal-</w:t>
      </w:r>
      <w:r w:rsidRPr="001D5B51">
        <w:rPr>
          <w:rFonts w:ascii="Times New Roman" w:hAnsi="Times New Roman"/>
          <w:sz w:val="24"/>
          <w:szCs w:val="24"/>
        </w:rPr>
        <w:t>based fiduciary rules</w:t>
      </w:r>
      <w:r>
        <w:rPr>
          <w:rFonts w:ascii="Times New Roman" w:hAnsi="Times New Roman"/>
          <w:sz w:val="24"/>
          <w:szCs w:val="24"/>
        </w:rPr>
        <w:t xml:space="preserve"> and conduct</w:t>
      </w:r>
      <w:r w:rsidRPr="001D5B51">
        <w:rPr>
          <w:rFonts w:ascii="Times New Roman" w:hAnsi="Times New Roman"/>
          <w:sz w:val="24"/>
          <w:szCs w:val="24"/>
        </w:rPr>
        <w:t xml:space="preserve"> rests solely on the shoulders of the fiduciaries and not </w:t>
      </w:r>
      <w:r>
        <w:rPr>
          <w:rFonts w:ascii="Times New Roman" w:hAnsi="Times New Roman"/>
          <w:sz w:val="24"/>
          <w:szCs w:val="24"/>
        </w:rPr>
        <w:t xml:space="preserve">with </w:t>
      </w:r>
      <w:r w:rsidRPr="001D5B51">
        <w:rPr>
          <w:rFonts w:ascii="Times New Roman" w:hAnsi="Times New Roman"/>
          <w:sz w:val="24"/>
          <w:szCs w:val="24"/>
        </w:rPr>
        <w:t xml:space="preserve">service providers to the retirement plan.  The Proposed Regulation should </w:t>
      </w:r>
      <w:r>
        <w:rPr>
          <w:rFonts w:ascii="Times New Roman" w:hAnsi="Times New Roman"/>
          <w:sz w:val="24"/>
          <w:szCs w:val="24"/>
        </w:rPr>
        <w:t>place</w:t>
      </w:r>
      <w:r w:rsidRPr="001D5B51">
        <w:rPr>
          <w:rFonts w:ascii="Times New Roman" w:hAnsi="Times New Roman"/>
          <w:sz w:val="24"/>
          <w:szCs w:val="24"/>
        </w:rPr>
        <w:t xml:space="preserve"> the determination responsibility </w:t>
      </w:r>
      <w:r>
        <w:rPr>
          <w:rFonts w:ascii="Times New Roman" w:hAnsi="Times New Roman"/>
          <w:sz w:val="24"/>
          <w:szCs w:val="24"/>
        </w:rPr>
        <w:t>on</w:t>
      </w:r>
      <w:r w:rsidRPr="001D5B51">
        <w:rPr>
          <w:rFonts w:ascii="Times New Roman" w:hAnsi="Times New Roman"/>
          <w:sz w:val="24"/>
          <w:szCs w:val="24"/>
        </w:rPr>
        <w:t xml:space="preserve"> the fiduciaries and not shared by or shifted to Sellers.  Furthermore, the Proposed Regulation should precisely state the actions and process required for a seller to qual</w:t>
      </w:r>
      <w:r>
        <w:rPr>
          <w:rFonts w:ascii="Times New Roman" w:hAnsi="Times New Roman"/>
          <w:sz w:val="24"/>
          <w:szCs w:val="24"/>
        </w:rPr>
        <w:t>ify under the Seller Exemption.</w:t>
      </w:r>
    </w:p>
    <w:p w:rsidR="001E7E9D" w:rsidRDefault="001E7E9D" w:rsidP="006C30ED">
      <w:pPr>
        <w:tabs>
          <w:tab w:val="left" w:pos="630"/>
        </w:tabs>
        <w:spacing w:before="20" w:after="20" w:line="360" w:lineRule="auto"/>
        <w:ind w:left="630"/>
        <w:rPr>
          <w:rFonts w:ascii="Times New Roman" w:hAnsi="Times New Roman"/>
          <w:sz w:val="24"/>
          <w:szCs w:val="24"/>
        </w:rPr>
      </w:pPr>
    </w:p>
    <w:p w:rsidR="001E7E9D" w:rsidRPr="006C30ED" w:rsidRDefault="001E7E9D" w:rsidP="006C30ED">
      <w:pPr>
        <w:tabs>
          <w:tab w:val="left" w:pos="630"/>
        </w:tabs>
        <w:spacing w:line="360" w:lineRule="auto"/>
        <w:ind w:left="86"/>
        <w:rPr>
          <w:rFonts w:ascii="Times New Roman" w:hAnsi="Times New Roman"/>
          <w:sz w:val="24"/>
          <w:szCs w:val="24"/>
        </w:rPr>
      </w:pPr>
      <w:r w:rsidRPr="006C30ED">
        <w:rPr>
          <w:rFonts w:ascii="Times New Roman" w:hAnsi="Times New Roman"/>
          <w:sz w:val="24"/>
          <w:szCs w:val="24"/>
        </w:rPr>
        <w:t>By convention, applying the Sellers Exemption</w:t>
      </w:r>
      <w:r>
        <w:rPr>
          <w:rFonts w:ascii="Times New Roman" w:hAnsi="Times New Roman"/>
          <w:sz w:val="24"/>
          <w:szCs w:val="24"/>
        </w:rPr>
        <w:t xml:space="preserve"> most likely</w:t>
      </w:r>
      <w:r w:rsidRPr="006C30ED">
        <w:rPr>
          <w:rFonts w:ascii="Times New Roman" w:hAnsi="Times New Roman"/>
          <w:sz w:val="24"/>
          <w:szCs w:val="24"/>
        </w:rPr>
        <w:t xml:space="preserve"> requires some sort of </w:t>
      </w:r>
      <w:r>
        <w:rPr>
          <w:rFonts w:ascii="Times New Roman" w:hAnsi="Times New Roman"/>
          <w:sz w:val="24"/>
          <w:szCs w:val="24"/>
        </w:rPr>
        <w:tab/>
      </w:r>
      <w:r w:rsidRPr="006C30ED">
        <w:rPr>
          <w:rFonts w:ascii="Times New Roman" w:hAnsi="Times New Roman"/>
          <w:sz w:val="24"/>
          <w:szCs w:val="24"/>
        </w:rPr>
        <w:t xml:space="preserve">disclosure. Disclosure is troublesome on its face. </w:t>
      </w:r>
      <w:r w:rsidRPr="006C30ED">
        <w:rPr>
          <w:rFonts w:ascii="Times New Roman" w:hAnsi="Times New Roman"/>
          <w:color w:val="000000"/>
          <w:sz w:val="24"/>
          <w:szCs w:val="24"/>
        </w:rPr>
        <w:t xml:space="preserve">Independent academic research suggests, quite simply, disclosure is not effective. By "not effective" I apply a standard suggested by Commissioner Troy Paredes’ when he framed the issue in his 2003 paper, as then professor Paredes, and suggested two things are needed for a regulatory regime based on disclosure. "First, information has to be disclosed. Second and often overlooked, the </w:t>
      </w:r>
      <w:r>
        <w:rPr>
          <w:rFonts w:ascii="Times New Roman" w:hAnsi="Times New Roman"/>
          <w:color w:val="000000"/>
          <w:sz w:val="24"/>
          <w:szCs w:val="24"/>
        </w:rPr>
        <w:t>users of the information -</w:t>
      </w:r>
      <w:r w:rsidRPr="006C30ED">
        <w:rPr>
          <w:rFonts w:ascii="Times New Roman" w:hAnsi="Times New Roman"/>
          <w:color w:val="000000"/>
          <w:sz w:val="24"/>
          <w:szCs w:val="24"/>
        </w:rPr>
        <w:t xml:space="preserve"> for example, investors, securities analysts, brokers and </w:t>
      </w:r>
      <w:r>
        <w:rPr>
          <w:rFonts w:ascii="Times New Roman" w:hAnsi="Times New Roman"/>
          <w:color w:val="000000"/>
          <w:sz w:val="24"/>
          <w:szCs w:val="24"/>
        </w:rPr>
        <w:t>portfolio managers -</w:t>
      </w:r>
      <w:r w:rsidRPr="006C30ED">
        <w:rPr>
          <w:rFonts w:ascii="Times New Roman" w:hAnsi="Times New Roman"/>
          <w:color w:val="000000"/>
          <w:sz w:val="24"/>
          <w:szCs w:val="24"/>
        </w:rPr>
        <w:t xml:space="preserve"> need to use the disclosed information effectively." </w:t>
      </w:r>
    </w:p>
    <w:p w:rsidR="001E7E9D" w:rsidRPr="006C30ED" w:rsidRDefault="001E7E9D" w:rsidP="006C30ED">
      <w:pPr>
        <w:tabs>
          <w:tab w:val="left" w:pos="630"/>
        </w:tabs>
        <w:spacing w:line="360" w:lineRule="auto"/>
        <w:ind w:left="86"/>
        <w:rPr>
          <w:rFonts w:ascii="Times New Roman" w:hAnsi="Times New Roman"/>
          <w:color w:val="000000"/>
          <w:sz w:val="24"/>
          <w:szCs w:val="24"/>
        </w:rPr>
      </w:pPr>
      <w:r w:rsidRPr="006C30ED">
        <w:rPr>
          <w:rFonts w:ascii="Times New Roman" w:hAnsi="Times New Roman"/>
          <w:color w:val="000000"/>
          <w:sz w:val="24"/>
          <w:szCs w:val="24"/>
        </w:rPr>
        <w:t> </w:t>
      </w:r>
    </w:p>
    <w:p w:rsidR="001E7E9D" w:rsidRPr="006C30ED" w:rsidRDefault="001E7E9D" w:rsidP="006C30ED">
      <w:pPr>
        <w:tabs>
          <w:tab w:val="left" w:pos="630"/>
        </w:tabs>
        <w:spacing w:line="360" w:lineRule="auto"/>
        <w:ind w:left="86"/>
        <w:rPr>
          <w:rFonts w:ascii="Times New Roman" w:hAnsi="Times New Roman"/>
          <w:color w:val="000000"/>
          <w:sz w:val="24"/>
          <w:szCs w:val="24"/>
        </w:rPr>
      </w:pPr>
      <w:r w:rsidRPr="006C30ED">
        <w:rPr>
          <w:rFonts w:ascii="Times New Roman" w:hAnsi="Times New Roman"/>
          <w:color w:val="000000"/>
          <w:sz w:val="24"/>
          <w:szCs w:val="24"/>
        </w:rPr>
        <w:t xml:space="preserve">A snapshot of the abundance of independent academic research reviewed in </w:t>
      </w:r>
      <w:r>
        <w:rPr>
          <w:rFonts w:ascii="Times New Roman" w:hAnsi="Times New Roman"/>
          <w:color w:val="000000"/>
          <w:sz w:val="24"/>
          <w:szCs w:val="24"/>
        </w:rPr>
        <w:t xml:space="preserve">the attached </w:t>
      </w:r>
      <w:r w:rsidRPr="006C30ED">
        <w:rPr>
          <w:rFonts w:ascii="Times New Roman" w:hAnsi="Times New Roman"/>
          <w:color w:val="000000"/>
          <w:sz w:val="24"/>
          <w:szCs w:val="24"/>
        </w:rPr>
        <w:t xml:space="preserve"> paper, soon to be published, by professor Robert Prentice of the University of Texas. Professor Prentice reviews the research and concludes: “Unfortunately, disclosure mandated by government often does not do the job with which it is charged. There are now many, many studies which tend to indicate that mandated disclosures as a remedy … is often ineffective.”</w:t>
      </w:r>
      <w:r>
        <w:rPr>
          <w:rFonts w:ascii="Times New Roman" w:hAnsi="Times New Roman"/>
          <w:color w:val="000000"/>
          <w:sz w:val="24"/>
          <w:szCs w:val="24"/>
        </w:rPr>
        <w:t xml:space="preserve">  </w:t>
      </w:r>
      <w:r w:rsidRPr="006C30ED">
        <w:rPr>
          <w:rFonts w:ascii="Times New Roman" w:hAnsi="Times New Roman"/>
          <w:color w:val="000000"/>
          <w:sz w:val="24"/>
          <w:szCs w:val="24"/>
        </w:rPr>
        <w:t>Further, Prentice made special note of disclosure aimed at informing customers of brokers of non-fiduciary status.</w:t>
      </w:r>
      <w:r>
        <w:rPr>
          <w:rFonts w:ascii="Times New Roman" w:hAnsi="Times New Roman"/>
          <w:color w:val="000000"/>
          <w:sz w:val="24"/>
          <w:szCs w:val="24"/>
        </w:rPr>
        <w:t xml:space="preserve"> </w:t>
      </w:r>
      <w:r w:rsidRPr="006C30ED">
        <w:rPr>
          <w:rFonts w:ascii="Times New Roman" w:hAnsi="Times New Roman"/>
          <w:color w:val="000000"/>
          <w:sz w:val="24"/>
          <w:szCs w:val="24"/>
        </w:rPr>
        <w:t>“NFD (no fiduciary duty) disclosures do not provide customers of brokers sufficient material with which to adequately assess their situation and protect themselves from potential abuse. Nor do NFD disclosures adequately rein in brokers. Rather, they may well cause brokers to unconscientiously give customers more biased advice than they would have given in the absence of disclosures, as they grant themselves moral license to depart f</w:t>
      </w:r>
      <w:r>
        <w:rPr>
          <w:rFonts w:ascii="Times New Roman" w:hAnsi="Times New Roman"/>
          <w:color w:val="000000"/>
          <w:sz w:val="24"/>
          <w:szCs w:val="24"/>
        </w:rPr>
        <w:t>rom their own ethical standards</w:t>
      </w:r>
      <w:r w:rsidRPr="006C30ED">
        <w:rPr>
          <w:rFonts w:ascii="Times New Roman" w:hAnsi="Times New Roman"/>
          <w:color w:val="000000"/>
          <w:sz w:val="24"/>
          <w:szCs w:val="24"/>
        </w:rPr>
        <w:t>.” (p.36)</w:t>
      </w:r>
    </w:p>
    <w:p w:rsidR="001E7E9D" w:rsidRPr="006C30ED" w:rsidRDefault="001E7E9D" w:rsidP="006C30ED">
      <w:pPr>
        <w:tabs>
          <w:tab w:val="left" w:pos="630"/>
        </w:tabs>
        <w:spacing w:line="360" w:lineRule="auto"/>
        <w:ind w:left="86"/>
        <w:rPr>
          <w:rFonts w:ascii="Times New Roman" w:hAnsi="Times New Roman"/>
          <w:color w:val="000000"/>
          <w:sz w:val="24"/>
          <w:szCs w:val="24"/>
        </w:rPr>
      </w:pPr>
    </w:p>
    <w:p w:rsidR="001E7E9D" w:rsidRPr="006C30ED" w:rsidRDefault="001E7E9D" w:rsidP="006C30ED">
      <w:pPr>
        <w:tabs>
          <w:tab w:val="left" w:pos="630"/>
        </w:tabs>
        <w:spacing w:line="360" w:lineRule="auto"/>
        <w:ind w:left="86"/>
        <w:rPr>
          <w:rFonts w:ascii="Times New Roman" w:hAnsi="Times New Roman"/>
          <w:color w:val="000000"/>
          <w:sz w:val="24"/>
          <w:szCs w:val="24"/>
        </w:rPr>
      </w:pPr>
      <w:r w:rsidRPr="006C30ED">
        <w:rPr>
          <w:rFonts w:ascii="Times New Roman" w:hAnsi="Times New Roman"/>
          <w:color w:val="000000"/>
          <w:sz w:val="24"/>
          <w:szCs w:val="24"/>
        </w:rPr>
        <w:t xml:space="preserve">It is from this perspective of serious doubts about disclosure effectiveness in most circumstances that the following procedure should be considered.   </w:t>
      </w:r>
    </w:p>
    <w:p w:rsidR="001E7E9D" w:rsidRPr="006C30ED" w:rsidRDefault="001E7E9D" w:rsidP="006C30ED">
      <w:pPr>
        <w:tabs>
          <w:tab w:val="left" w:pos="630"/>
        </w:tabs>
        <w:spacing w:before="20" w:after="20" w:line="360" w:lineRule="auto"/>
        <w:ind w:left="86"/>
        <w:rPr>
          <w:rFonts w:ascii="Times New Roman" w:hAnsi="Times New Roman"/>
          <w:sz w:val="24"/>
          <w:szCs w:val="24"/>
        </w:rPr>
      </w:pPr>
    </w:p>
    <w:p w:rsidR="001E7E9D" w:rsidRPr="001D5B51" w:rsidRDefault="001E7E9D" w:rsidP="006C30ED">
      <w:pPr>
        <w:spacing w:before="20" w:after="20" w:line="360" w:lineRule="auto"/>
        <w:rPr>
          <w:rFonts w:ascii="Times New Roman" w:hAnsi="Times New Roman"/>
          <w:sz w:val="24"/>
          <w:szCs w:val="24"/>
        </w:rPr>
      </w:pPr>
      <w:r w:rsidRPr="006C30ED">
        <w:rPr>
          <w:rFonts w:ascii="Times New Roman" w:hAnsi="Times New Roman"/>
          <w:sz w:val="24"/>
          <w:szCs w:val="24"/>
        </w:rPr>
        <w:t>1.</w:t>
      </w:r>
      <w:r w:rsidRPr="006C30ED">
        <w:rPr>
          <w:rFonts w:ascii="Times New Roman" w:hAnsi="Times New Roman"/>
          <w:sz w:val="24"/>
          <w:szCs w:val="24"/>
        </w:rPr>
        <w:tab/>
        <w:t>When a seller, who does not intend to be an investment fiduciary under ERISA</w:t>
      </w:r>
      <w:r w:rsidRPr="001D5B51">
        <w:rPr>
          <w:rFonts w:ascii="Times New Roman" w:hAnsi="Times New Roman"/>
          <w:sz w:val="24"/>
          <w:szCs w:val="24"/>
        </w:rPr>
        <w:t xml:space="preserve"> section </w:t>
      </w:r>
      <w:r>
        <w:rPr>
          <w:rFonts w:ascii="Times New Roman" w:hAnsi="Times New Roman"/>
          <w:sz w:val="24"/>
          <w:szCs w:val="24"/>
        </w:rPr>
        <w:tab/>
      </w:r>
      <w:r w:rsidRPr="001D5B51">
        <w:rPr>
          <w:rFonts w:ascii="Times New Roman" w:hAnsi="Times New Roman"/>
          <w:sz w:val="24"/>
          <w:szCs w:val="24"/>
        </w:rPr>
        <w:t xml:space="preserve">3(21)[A](ii) or otherwise intends to qualify under the Sellers Exemption, contacts a </w:t>
      </w:r>
      <w:r>
        <w:rPr>
          <w:rFonts w:ascii="Times New Roman" w:hAnsi="Times New Roman"/>
          <w:sz w:val="24"/>
          <w:szCs w:val="24"/>
        </w:rPr>
        <w:tab/>
      </w:r>
      <w:r w:rsidRPr="001D5B51">
        <w:rPr>
          <w:rFonts w:ascii="Times New Roman" w:hAnsi="Times New Roman"/>
          <w:sz w:val="24"/>
          <w:szCs w:val="24"/>
        </w:rPr>
        <w:t xml:space="preserve">retirement plan fiduciary to sell investment advice, products or services, the seller must </w:t>
      </w:r>
      <w:r>
        <w:rPr>
          <w:rFonts w:ascii="Times New Roman" w:hAnsi="Times New Roman"/>
          <w:sz w:val="24"/>
          <w:szCs w:val="24"/>
        </w:rPr>
        <w:tab/>
      </w:r>
      <w:r w:rsidRPr="001D5B51">
        <w:rPr>
          <w:rFonts w:ascii="Times New Roman" w:hAnsi="Times New Roman"/>
          <w:sz w:val="24"/>
          <w:szCs w:val="24"/>
        </w:rPr>
        <w:t xml:space="preserve">schedule for the selling discussion 48 hours prior to the Meeting (via the Web, telephone, </w:t>
      </w:r>
      <w:r>
        <w:rPr>
          <w:rFonts w:ascii="Times New Roman" w:hAnsi="Times New Roman"/>
          <w:sz w:val="24"/>
          <w:szCs w:val="24"/>
        </w:rPr>
        <w:tab/>
      </w:r>
      <w:r w:rsidRPr="001D5B51">
        <w:rPr>
          <w:rFonts w:ascii="Times New Roman" w:hAnsi="Times New Roman"/>
          <w:sz w:val="24"/>
          <w:szCs w:val="24"/>
        </w:rPr>
        <w:t>in-person or electronically)</w:t>
      </w:r>
      <w:r>
        <w:rPr>
          <w:rFonts w:ascii="Times New Roman" w:hAnsi="Times New Roman"/>
          <w:sz w:val="24"/>
          <w:szCs w:val="24"/>
        </w:rPr>
        <w:t xml:space="preserve"> and notify the </w:t>
      </w:r>
      <w:r w:rsidRPr="001D5B51">
        <w:rPr>
          <w:rFonts w:ascii="Times New Roman" w:hAnsi="Times New Roman"/>
          <w:sz w:val="24"/>
          <w:szCs w:val="24"/>
        </w:rPr>
        <w:t>recipient of advice</w:t>
      </w:r>
      <w:r>
        <w:rPr>
          <w:rFonts w:ascii="Times New Roman" w:hAnsi="Times New Roman"/>
          <w:sz w:val="24"/>
          <w:szCs w:val="24"/>
        </w:rPr>
        <w:t xml:space="preserve"> to visit a specific </w:t>
      </w:r>
      <w:r>
        <w:rPr>
          <w:rFonts w:ascii="Times New Roman" w:hAnsi="Times New Roman"/>
          <w:sz w:val="24"/>
          <w:szCs w:val="24"/>
        </w:rPr>
        <w:tab/>
        <w:t>Department-</w:t>
      </w:r>
      <w:r w:rsidRPr="001D5B51">
        <w:rPr>
          <w:rFonts w:ascii="Times New Roman" w:hAnsi="Times New Roman"/>
          <w:sz w:val="24"/>
          <w:szCs w:val="24"/>
        </w:rPr>
        <w:t xml:space="preserve">sponsored or administered website ("Sellers Exemption Site") prior to the </w:t>
      </w:r>
      <w:r>
        <w:rPr>
          <w:rFonts w:ascii="Times New Roman" w:hAnsi="Times New Roman"/>
          <w:sz w:val="24"/>
          <w:szCs w:val="24"/>
        </w:rPr>
        <w:tab/>
      </w:r>
      <w:r w:rsidRPr="001D5B51">
        <w:rPr>
          <w:rFonts w:ascii="Times New Roman" w:hAnsi="Times New Roman"/>
          <w:sz w:val="24"/>
          <w:szCs w:val="24"/>
        </w:rPr>
        <w:t>Meeting.</w:t>
      </w:r>
    </w:p>
    <w:p w:rsidR="001E7E9D" w:rsidRPr="001D5B51" w:rsidRDefault="001E7E9D" w:rsidP="006C30ED">
      <w:pPr>
        <w:tabs>
          <w:tab w:val="left" w:pos="630"/>
        </w:tabs>
        <w:spacing w:before="20" w:after="20" w:line="360" w:lineRule="auto"/>
        <w:ind w:left="90"/>
        <w:rPr>
          <w:rFonts w:ascii="Times New Roman" w:hAnsi="Times New Roman"/>
          <w:sz w:val="24"/>
          <w:szCs w:val="24"/>
        </w:rPr>
      </w:pPr>
      <w:r w:rsidRPr="001D5B51">
        <w:rPr>
          <w:rFonts w:ascii="Times New Roman" w:hAnsi="Times New Roman"/>
          <w:sz w:val="24"/>
          <w:szCs w:val="24"/>
        </w:rPr>
        <w:t>2.</w:t>
      </w:r>
      <w:r w:rsidRPr="001D5B51">
        <w:rPr>
          <w:rFonts w:ascii="Times New Roman" w:hAnsi="Times New Roman"/>
          <w:sz w:val="24"/>
          <w:szCs w:val="24"/>
        </w:rPr>
        <w:tab/>
      </w:r>
      <w:r>
        <w:rPr>
          <w:rFonts w:ascii="Times New Roman" w:hAnsi="Times New Roman"/>
          <w:sz w:val="24"/>
          <w:szCs w:val="24"/>
        </w:rPr>
        <w:tab/>
      </w:r>
      <w:r w:rsidRPr="001D5B51">
        <w:rPr>
          <w:rFonts w:ascii="Times New Roman" w:hAnsi="Times New Roman"/>
          <w:sz w:val="24"/>
          <w:szCs w:val="24"/>
        </w:rPr>
        <w:t xml:space="preserve">The retirement plan fiduciary visits the Sellers Exemption Site </w:t>
      </w:r>
      <w:r>
        <w:rPr>
          <w:rFonts w:ascii="Times New Roman" w:hAnsi="Times New Roman"/>
          <w:sz w:val="24"/>
          <w:szCs w:val="24"/>
        </w:rPr>
        <w:t xml:space="preserve">and is asked to complete a </w:t>
      </w:r>
      <w:r>
        <w:rPr>
          <w:rFonts w:ascii="Times New Roman" w:hAnsi="Times New Roman"/>
          <w:sz w:val="24"/>
          <w:szCs w:val="24"/>
        </w:rPr>
        <w:tab/>
      </w:r>
      <w:r>
        <w:rPr>
          <w:rFonts w:ascii="Times New Roman" w:hAnsi="Times New Roman"/>
          <w:sz w:val="24"/>
          <w:szCs w:val="24"/>
        </w:rPr>
        <w:tab/>
        <w:t>ten</w:t>
      </w:r>
      <w:r w:rsidRPr="001D5B51">
        <w:rPr>
          <w:rFonts w:ascii="Times New Roman" w:hAnsi="Times New Roman"/>
          <w:sz w:val="24"/>
          <w:szCs w:val="24"/>
        </w:rPr>
        <w:t xml:space="preserve"> minute</w:t>
      </w:r>
      <w:r>
        <w:rPr>
          <w:rFonts w:ascii="Times New Roman" w:hAnsi="Times New Roman"/>
          <w:sz w:val="24"/>
          <w:szCs w:val="24"/>
        </w:rPr>
        <w:t xml:space="preserve"> interactive question and answer</w:t>
      </w:r>
      <w:r w:rsidRPr="001D5B51">
        <w:rPr>
          <w:rFonts w:ascii="Times New Roman" w:hAnsi="Times New Roman"/>
          <w:sz w:val="24"/>
          <w:szCs w:val="24"/>
        </w:rPr>
        <w:t xml:space="preserve"> educational session.  This exercise intends to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D5B51">
        <w:rPr>
          <w:rFonts w:ascii="Times New Roman" w:hAnsi="Times New Roman"/>
          <w:sz w:val="24"/>
          <w:szCs w:val="24"/>
        </w:rPr>
        <w:t xml:space="preserve">communicate and educate the retirement plan fiduciary of his fiduciary duties, the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D5B51">
        <w:rPr>
          <w:rFonts w:ascii="Times New Roman" w:hAnsi="Times New Roman"/>
          <w:sz w:val="24"/>
          <w:szCs w:val="24"/>
        </w:rPr>
        <w:t xml:space="preserve">fiduciary standards </w:t>
      </w:r>
      <w:r>
        <w:rPr>
          <w:rFonts w:ascii="Times New Roman" w:hAnsi="Times New Roman"/>
          <w:sz w:val="24"/>
          <w:szCs w:val="24"/>
        </w:rPr>
        <w:t xml:space="preserve">expected of him, as well as </w:t>
      </w:r>
      <w:r w:rsidRPr="001D5B51">
        <w:rPr>
          <w:rFonts w:ascii="Times New Roman" w:hAnsi="Times New Roman"/>
          <w:sz w:val="24"/>
          <w:szCs w:val="24"/>
        </w:rPr>
        <w:t xml:space="preserve">the Seller Exemption.  At the end of the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D5B51">
        <w:rPr>
          <w:rFonts w:ascii="Times New Roman" w:hAnsi="Times New Roman"/>
          <w:sz w:val="24"/>
          <w:szCs w:val="24"/>
        </w:rPr>
        <w:t xml:space="preserve">interactive session, the retirement plan fiduciary is </w:t>
      </w:r>
      <w:r>
        <w:rPr>
          <w:rFonts w:ascii="Times New Roman" w:hAnsi="Times New Roman"/>
          <w:sz w:val="24"/>
          <w:szCs w:val="24"/>
        </w:rPr>
        <w:tab/>
      </w:r>
      <w:r w:rsidRPr="001D5B51">
        <w:rPr>
          <w:rFonts w:ascii="Times New Roman" w:hAnsi="Times New Roman"/>
          <w:sz w:val="24"/>
          <w:szCs w:val="24"/>
        </w:rPr>
        <w:t xml:space="preserve">expected to acknowledge the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D5B51">
        <w:rPr>
          <w:rFonts w:ascii="Times New Roman" w:hAnsi="Times New Roman"/>
          <w:sz w:val="24"/>
          <w:szCs w:val="24"/>
        </w:rPr>
        <w:t>completion of the exercise by signing electronically and print</w:t>
      </w:r>
      <w:r>
        <w:rPr>
          <w:rFonts w:ascii="Times New Roman" w:hAnsi="Times New Roman"/>
          <w:sz w:val="24"/>
          <w:szCs w:val="24"/>
        </w:rPr>
        <w:t>ing</w:t>
      </w:r>
      <w:r w:rsidRPr="001D5B51">
        <w:rPr>
          <w:rFonts w:ascii="Times New Roman" w:hAnsi="Times New Roman"/>
          <w:sz w:val="24"/>
          <w:szCs w:val="24"/>
        </w:rPr>
        <w:t xml:space="preserve"> out two physical copies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D5B51">
        <w:rPr>
          <w:rFonts w:ascii="Times New Roman" w:hAnsi="Times New Roman"/>
          <w:sz w:val="24"/>
          <w:szCs w:val="24"/>
        </w:rPr>
        <w:t>of the Seller Exemption Acknowledgement or forward</w:t>
      </w:r>
      <w:r>
        <w:rPr>
          <w:rFonts w:ascii="Times New Roman" w:hAnsi="Times New Roman"/>
          <w:sz w:val="24"/>
          <w:szCs w:val="24"/>
        </w:rPr>
        <w:t>ing</w:t>
      </w:r>
      <w:r w:rsidRPr="001D5B51">
        <w:rPr>
          <w:rFonts w:ascii="Times New Roman" w:hAnsi="Times New Roman"/>
          <w:sz w:val="24"/>
          <w:szCs w:val="24"/>
        </w:rPr>
        <w:t xml:space="preserve"> a copy to the retirement plan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D5B51">
        <w:rPr>
          <w:rFonts w:ascii="Times New Roman" w:hAnsi="Times New Roman"/>
          <w:sz w:val="24"/>
          <w:szCs w:val="24"/>
        </w:rPr>
        <w:t>fiduciary via electronic mail.</w:t>
      </w:r>
    </w:p>
    <w:p w:rsidR="001E7E9D" w:rsidRPr="001D5B51" w:rsidRDefault="001E7E9D" w:rsidP="006C30ED">
      <w:pPr>
        <w:tabs>
          <w:tab w:val="left" w:pos="630"/>
        </w:tabs>
        <w:spacing w:before="20" w:after="20" w:line="360" w:lineRule="auto"/>
        <w:ind w:left="90"/>
        <w:rPr>
          <w:rFonts w:ascii="Times New Roman" w:hAnsi="Times New Roman"/>
          <w:sz w:val="24"/>
          <w:szCs w:val="24"/>
        </w:rPr>
      </w:pPr>
      <w:r w:rsidRPr="001D5B51">
        <w:rPr>
          <w:rFonts w:ascii="Times New Roman" w:hAnsi="Times New Roman"/>
          <w:sz w:val="24"/>
          <w:szCs w:val="24"/>
        </w:rPr>
        <w:t>3.</w:t>
      </w:r>
      <w:r w:rsidRPr="001D5B51">
        <w:rPr>
          <w:rFonts w:ascii="Times New Roman" w:hAnsi="Times New Roman"/>
          <w:sz w:val="24"/>
          <w:szCs w:val="24"/>
        </w:rPr>
        <w:tab/>
      </w:r>
      <w:r>
        <w:rPr>
          <w:rFonts w:ascii="Times New Roman" w:hAnsi="Times New Roman"/>
          <w:sz w:val="24"/>
          <w:szCs w:val="24"/>
        </w:rPr>
        <w:tab/>
      </w:r>
      <w:r w:rsidRPr="001D5B51">
        <w:rPr>
          <w:rFonts w:ascii="Times New Roman" w:hAnsi="Times New Roman"/>
          <w:sz w:val="24"/>
          <w:szCs w:val="24"/>
        </w:rPr>
        <w:t xml:space="preserve">During the meeting with the Seller, the Seller should ask for and/or the retirement </w:t>
      </w:r>
      <w:r>
        <w:rPr>
          <w:rFonts w:ascii="Times New Roman" w:hAnsi="Times New Roman"/>
          <w:sz w:val="24"/>
          <w:szCs w:val="24"/>
        </w:rPr>
        <w:tab/>
      </w:r>
      <w:r w:rsidRPr="001D5B51">
        <w:rPr>
          <w:rFonts w:ascii="Times New Roman" w:hAnsi="Times New Roman"/>
          <w:sz w:val="24"/>
          <w:szCs w:val="24"/>
        </w:rPr>
        <w:t xml:space="preserve">plan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D5B51">
        <w:rPr>
          <w:rFonts w:ascii="Times New Roman" w:hAnsi="Times New Roman"/>
          <w:sz w:val="24"/>
          <w:szCs w:val="24"/>
        </w:rPr>
        <w:t>fiduciary should make available a copy o</w:t>
      </w:r>
      <w:r>
        <w:rPr>
          <w:rFonts w:ascii="Times New Roman" w:hAnsi="Times New Roman"/>
          <w:sz w:val="24"/>
          <w:szCs w:val="24"/>
        </w:rPr>
        <w:t xml:space="preserve">f the executed Seller Exemption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D5B51">
        <w:rPr>
          <w:rFonts w:ascii="Times New Roman" w:hAnsi="Times New Roman"/>
          <w:sz w:val="24"/>
          <w:szCs w:val="24"/>
        </w:rPr>
        <w:t xml:space="preserve">Acknowledgement to be maintained by the Seller.  The Seller Exemption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D5B51">
        <w:rPr>
          <w:rFonts w:ascii="Times New Roman" w:hAnsi="Times New Roman"/>
          <w:sz w:val="24"/>
          <w:szCs w:val="24"/>
        </w:rPr>
        <w:t>Acknowledgement is one clear and definit</w:t>
      </w:r>
      <w:r>
        <w:rPr>
          <w:rFonts w:ascii="Times New Roman" w:hAnsi="Times New Roman"/>
          <w:sz w:val="24"/>
          <w:szCs w:val="24"/>
        </w:rPr>
        <w:t xml:space="preserve">ive way </w:t>
      </w:r>
      <w:r w:rsidRPr="001D5B51">
        <w:rPr>
          <w:rFonts w:ascii="Times New Roman" w:hAnsi="Times New Roman"/>
          <w:sz w:val="24"/>
          <w:szCs w:val="24"/>
        </w:rPr>
        <w:t xml:space="preserve">the Seller, if not the retirement </w:t>
      </w:r>
      <w:r>
        <w:rPr>
          <w:rFonts w:ascii="Times New Roman" w:hAnsi="Times New Roman"/>
          <w:sz w:val="24"/>
          <w:szCs w:val="24"/>
        </w:rPr>
        <w:tab/>
      </w:r>
      <w:r w:rsidRPr="001D5B51">
        <w:rPr>
          <w:rFonts w:ascii="Times New Roman" w:hAnsi="Times New Roman"/>
          <w:sz w:val="24"/>
          <w:szCs w:val="24"/>
        </w:rPr>
        <w:t xml:space="preserve">plan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D5B51">
        <w:rPr>
          <w:rFonts w:ascii="Times New Roman" w:hAnsi="Times New Roman"/>
          <w:sz w:val="24"/>
          <w:szCs w:val="24"/>
        </w:rPr>
        <w:t xml:space="preserve">fiduciary, "can demonstrate that the recipient of the advice knows or, under the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D5B51">
        <w:rPr>
          <w:rFonts w:ascii="Times New Roman" w:hAnsi="Times New Roman"/>
          <w:sz w:val="24"/>
          <w:szCs w:val="24"/>
        </w:rPr>
        <w:t xml:space="preserve">circumstances, reasonably should know, that the person is providing the advice or making </w:t>
      </w:r>
      <w:r>
        <w:rPr>
          <w:rFonts w:ascii="Times New Roman" w:hAnsi="Times New Roman"/>
          <w:sz w:val="24"/>
          <w:szCs w:val="24"/>
        </w:rPr>
        <w:tab/>
      </w:r>
      <w:r>
        <w:rPr>
          <w:rFonts w:ascii="Times New Roman" w:hAnsi="Times New Roman"/>
          <w:sz w:val="24"/>
          <w:szCs w:val="24"/>
        </w:rPr>
        <w:tab/>
      </w:r>
      <w:r w:rsidRPr="001D5B51">
        <w:rPr>
          <w:rFonts w:ascii="Times New Roman" w:hAnsi="Times New Roman"/>
          <w:sz w:val="24"/>
          <w:szCs w:val="24"/>
        </w:rPr>
        <w:t xml:space="preserve">the recommendation in its capacity as a purchaser or seller of a security or other property, </w:t>
      </w:r>
      <w:r>
        <w:rPr>
          <w:rFonts w:ascii="Times New Roman" w:hAnsi="Times New Roman"/>
          <w:sz w:val="24"/>
          <w:szCs w:val="24"/>
        </w:rPr>
        <w:tab/>
      </w:r>
      <w:r>
        <w:rPr>
          <w:rFonts w:ascii="Times New Roman" w:hAnsi="Times New Roman"/>
          <w:sz w:val="24"/>
          <w:szCs w:val="24"/>
        </w:rPr>
        <w:tab/>
      </w:r>
      <w:r w:rsidRPr="001D5B51">
        <w:rPr>
          <w:rFonts w:ascii="Times New Roman" w:hAnsi="Times New Roman"/>
          <w:sz w:val="24"/>
          <w:szCs w:val="24"/>
        </w:rPr>
        <w:t xml:space="preserve">or as an agent of, or appraiser for, such a purchaser or seller, whose interests are adverse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D5B51">
        <w:rPr>
          <w:rFonts w:ascii="Times New Roman" w:hAnsi="Times New Roman"/>
          <w:sz w:val="24"/>
          <w:szCs w:val="24"/>
        </w:rPr>
        <w:t>to the interests of t</w:t>
      </w:r>
      <w:r>
        <w:rPr>
          <w:rFonts w:ascii="Times New Roman" w:hAnsi="Times New Roman"/>
          <w:sz w:val="24"/>
          <w:szCs w:val="24"/>
        </w:rPr>
        <w:t xml:space="preserve">he plan or its participants or </w:t>
      </w:r>
      <w:r w:rsidRPr="001D5B51">
        <w:rPr>
          <w:rFonts w:ascii="Times New Roman" w:hAnsi="Times New Roman"/>
          <w:sz w:val="24"/>
          <w:szCs w:val="24"/>
        </w:rPr>
        <w:t xml:space="preserve">beneficiaries, and that the person is not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D5B51">
        <w:rPr>
          <w:rFonts w:ascii="Times New Roman" w:hAnsi="Times New Roman"/>
          <w:sz w:val="24"/>
          <w:szCs w:val="24"/>
        </w:rPr>
        <w:t>undertaking to provide impartial investment advice."</w:t>
      </w:r>
    </w:p>
    <w:p w:rsidR="001E7E9D" w:rsidRPr="001D5B51" w:rsidRDefault="001E7E9D" w:rsidP="006C30ED">
      <w:pPr>
        <w:tabs>
          <w:tab w:val="left" w:pos="630"/>
        </w:tabs>
        <w:spacing w:before="20" w:after="20" w:line="360" w:lineRule="auto"/>
        <w:ind w:left="90"/>
        <w:rPr>
          <w:rFonts w:ascii="Times New Roman" w:hAnsi="Times New Roman"/>
          <w:sz w:val="24"/>
          <w:szCs w:val="24"/>
        </w:rPr>
      </w:pPr>
    </w:p>
    <w:p w:rsidR="001E7E9D" w:rsidRDefault="001E7E9D" w:rsidP="006C30ED">
      <w:pPr>
        <w:tabs>
          <w:tab w:val="left" w:pos="630"/>
        </w:tabs>
        <w:spacing w:before="20" w:after="20" w:line="360" w:lineRule="auto"/>
        <w:ind w:left="90"/>
        <w:rPr>
          <w:rFonts w:ascii="Times New Roman" w:hAnsi="Times New Roman"/>
          <w:sz w:val="24"/>
          <w:szCs w:val="24"/>
        </w:rPr>
      </w:pPr>
    </w:p>
    <w:p w:rsidR="001E7E9D" w:rsidRPr="001D5B51" w:rsidRDefault="001E7E9D" w:rsidP="006C30ED">
      <w:pPr>
        <w:tabs>
          <w:tab w:val="left" w:pos="630"/>
        </w:tabs>
        <w:spacing w:before="20" w:after="20" w:line="360" w:lineRule="auto"/>
        <w:ind w:left="90"/>
        <w:rPr>
          <w:rFonts w:ascii="Times New Roman" w:hAnsi="Times New Roman"/>
          <w:sz w:val="24"/>
          <w:szCs w:val="24"/>
        </w:rPr>
      </w:pPr>
      <w:r w:rsidRPr="001D5B51">
        <w:rPr>
          <w:rFonts w:ascii="Times New Roman" w:hAnsi="Times New Roman"/>
          <w:sz w:val="24"/>
          <w:szCs w:val="24"/>
        </w:rPr>
        <w:t>The use of the Sellers Exemption Site has the added benefit of consistently reminding p</w:t>
      </w:r>
      <w:r>
        <w:rPr>
          <w:rFonts w:ascii="Times New Roman" w:hAnsi="Times New Roman"/>
          <w:sz w:val="24"/>
          <w:szCs w:val="24"/>
        </w:rPr>
        <w:t>lan fiduciaries of their duties,</w:t>
      </w:r>
      <w:r w:rsidRPr="001D5B51">
        <w:rPr>
          <w:rFonts w:ascii="Times New Roman" w:hAnsi="Times New Roman"/>
          <w:sz w:val="24"/>
          <w:szCs w:val="24"/>
        </w:rPr>
        <w:t xml:space="preserve"> obligations</w:t>
      </w:r>
      <w:r>
        <w:rPr>
          <w:rFonts w:ascii="Times New Roman" w:hAnsi="Times New Roman"/>
          <w:sz w:val="24"/>
          <w:szCs w:val="24"/>
        </w:rPr>
        <w:t>,</w:t>
      </w:r>
      <w:r w:rsidRPr="001D5B51">
        <w:rPr>
          <w:rFonts w:ascii="Times New Roman" w:hAnsi="Times New Roman"/>
          <w:sz w:val="24"/>
          <w:szCs w:val="24"/>
        </w:rPr>
        <w:t xml:space="preserve"> and responsibilities unde</w:t>
      </w:r>
      <w:r>
        <w:rPr>
          <w:rFonts w:ascii="Times New Roman" w:hAnsi="Times New Roman"/>
          <w:sz w:val="24"/>
          <w:szCs w:val="24"/>
        </w:rPr>
        <w:t xml:space="preserve">r ERISA.  Additionally, this approach </w:t>
      </w:r>
      <w:r w:rsidRPr="001D5B51">
        <w:rPr>
          <w:rFonts w:ascii="Times New Roman" w:hAnsi="Times New Roman"/>
          <w:sz w:val="24"/>
          <w:szCs w:val="24"/>
        </w:rPr>
        <w:t>overcome</w:t>
      </w:r>
      <w:r>
        <w:rPr>
          <w:rFonts w:ascii="Times New Roman" w:hAnsi="Times New Roman"/>
          <w:sz w:val="24"/>
          <w:szCs w:val="24"/>
        </w:rPr>
        <w:t xml:space="preserve">s </w:t>
      </w:r>
      <w:r w:rsidRPr="001D5B51">
        <w:rPr>
          <w:rFonts w:ascii="Times New Roman" w:hAnsi="Times New Roman"/>
          <w:sz w:val="24"/>
          <w:szCs w:val="24"/>
        </w:rPr>
        <w:t xml:space="preserve">failures associated with </w:t>
      </w:r>
      <w:r>
        <w:rPr>
          <w:rFonts w:ascii="Times New Roman" w:hAnsi="Times New Roman"/>
          <w:sz w:val="24"/>
          <w:szCs w:val="24"/>
        </w:rPr>
        <w:t xml:space="preserve">the use of </w:t>
      </w:r>
      <w:r w:rsidRPr="001D5B51">
        <w:rPr>
          <w:rFonts w:ascii="Times New Roman" w:hAnsi="Times New Roman"/>
          <w:sz w:val="24"/>
          <w:szCs w:val="24"/>
        </w:rPr>
        <w:t>disclosures.  Sellers of investment advice, products</w:t>
      </w:r>
      <w:r>
        <w:rPr>
          <w:rFonts w:ascii="Times New Roman" w:hAnsi="Times New Roman"/>
          <w:sz w:val="24"/>
          <w:szCs w:val="24"/>
        </w:rPr>
        <w:t>,</w:t>
      </w:r>
      <w:r w:rsidRPr="001D5B51">
        <w:rPr>
          <w:rFonts w:ascii="Times New Roman" w:hAnsi="Times New Roman"/>
          <w:sz w:val="24"/>
          <w:szCs w:val="24"/>
        </w:rPr>
        <w:t xml:space="preserve"> and services may claim </w:t>
      </w:r>
      <w:r>
        <w:rPr>
          <w:rFonts w:ascii="Times New Roman" w:hAnsi="Times New Roman"/>
          <w:sz w:val="24"/>
          <w:szCs w:val="24"/>
        </w:rPr>
        <w:t xml:space="preserve">that </w:t>
      </w:r>
      <w:r w:rsidRPr="001D5B51">
        <w:rPr>
          <w:rFonts w:ascii="Times New Roman" w:hAnsi="Times New Roman"/>
          <w:sz w:val="24"/>
          <w:szCs w:val="24"/>
        </w:rPr>
        <w:t xml:space="preserve">this recommended approach </w:t>
      </w:r>
      <w:r>
        <w:rPr>
          <w:rFonts w:ascii="Times New Roman" w:hAnsi="Times New Roman"/>
          <w:sz w:val="24"/>
          <w:szCs w:val="24"/>
        </w:rPr>
        <w:t>is</w:t>
      </w:r>
      <w:r w:rsidRPr="001D5B51">
        <w:rPr>
          <w:rFonts w:ascii="Times New Roman" w:hAnsi="Times New Roman"/>
          <w:sz w:val="24"/>
          <w:szCs w:val="24"/>
        </w:rPr>
        <w:t xml:space="preserve"> unfair, burdensome, or anti-competitive.  Sellers need to understand that Administrative Exemptions are not offered frivolously and </w:t>
      </w:r>
      <w:r>
        <w:rPr>
          <w:rFonts w:ascii="Times New Roman" w:hAnsi="Times New Roman"/>
          <w:sz w:val="24"/>
          <w:szCs w:val="24"/>
        </w:rPr>
        <w:t xml:space="preserve">that </w:t>
      </w:r>
      <w:r w:rsidRPr="001D5B51">
        <w:rPr>
          <w:rFonts w:ascii="Times New Roman" w:hAnsi="Times New Roman"/>
          <w:sz w:val="24"/>
          <w:szCs w:val="24"/>
        </w:rPr>
        <w:t xml:space="preserve">the </w:t>
      </w:r>
      <w:r>
        <w:rPr>
          <w:rFonts w:ascii="Times New Roman" w:hAnsi="Times New Roman"/>
          <w:sz w:val="24"/>
          <w:szCs w:val="24"/>
        </w:rPr>
        <w:t xml:space="preserve">following </w:t>
      </w:r>
      <w:r w:rsidRPr="001D5B51">
        <w:rPr>
          <w:rFonts w:ascii="Times New Roman" w:hAnsi="Times New Roman"/>
          <w:sz w:val="24"/>
          <w:szCs w:val="24"/>
        </w:rPr>
        <w:t>three general principles</w:t>
      </w:r>
      <w:r w:rsidRPr="00700C60">
        <w:rPr>
          <w:rFonts w:ascii="Times New Roman" w:hAnsi="Times New Roman"/>
          <w:sz w:val="24"/>
          <w:szCs w:val="24"/>
        </w:rPr>
        <w:t xml:space="preserve"> </w:t>
      </w:r>
      <w:r w:rsidRPr="001D5B51">
        <w:rPr>
          <w:rFonts w:ascii="Times New Roman" w:hAnsi="Times New Roman"/>
          <w:sz w:val="24"/>
          <w:szCs w:val="24"/>
        </w:rPr>
        <w:t xml:space="preserve">must be satisfied: (i) administratively feasible, (ii) in the interests of the plan and its participants and beneficiaries, and (iii) protective of the rights of participants and beneficiaries of such plan.  Allowing the Seller </w:t>
      </w:r>
      <w:r>
        <w:rPr>
          <w:rFonts w:ascii="Times New Roman" w:hAnsi="Times New Roman"/>
          <w:sz w:val="24"/>
          <w:szCs w:val="24"/>
        </w:rPr>
        <w:t>self-</w:t>
      </w:r>
      <w:r w:rsidRPr="001D5B51">
        <w:rPr>
          <w:rFonts w:ascii="Times New Roman" w:hAnsi="Times New Roman"/>
          <w:sz w:val="24"/>
          <w:szCs w:val="24"/>
        </w:rPr>
        <w:t>determination regarding "demonstrate and under the circumstances' and the " KORSK Standard" will have the same effect as the Proposed Regulation being withdrawn at best.  In fact</w:t>
      </w:r>
      <w:r>
        <w:rPr>
          <w:rFonts w:ascii="Times New Roman" w:hAnsi="Times New Roman"/>
          <w:sz w:val="24"/>
          <w:szCs w:val="24"/>
        </w:rPr>
        <w:t>,</w:t>
      </w:r>
      <w:r w:rsidRPr="001D5B51">
        <w:rPr>
          <w:rFonts w:ascii="Times New Roman" w:hAnsi="Times New Roman"/>
          <w:sz w:val="24"/>
          <w:szCs w:val="24"/>
        </w:rPr>
        <w:t xml:space="preserve"> the current proposed language will likely add confusion to the marketplace resulting in significantly adverse outcome</w:t>
      </w:r>
      <w:r>
        <w:rPr>
          <w:rFonts w:ascii="Times New Roman" w:hAnsi="Times New Roman"/>
          <w:sz w:val="24"/>
          <w:szCs w:val="24"/>
        </w:rPr>
        <w:t>s, in which</w:t>
      </w:r>
      <w:r w:rsidRPr="001D5B51">
        <w:rPr>
          <w:rFonts w:ascii="Times New Roman" w:hAnsi="Times New Roman"/>
          <w:sz w:val="24"/>
          <w:szCs w:val="24"/>
        </w:rPr>
        <w:t xml:space="preserve"> participant and beneficiary interests are not promoted, protected</w:t>
      </w:r>
      <w:r>
        <w:rPr>
          <w:rFonts w:ascii="Times New Roman" w:hAnsi="Times New Roman"/>
          <w:sz w:val="24"/>
          <w:szCs w:val="24"/>
        </w:rPr>
        <w:t>,</w:t>
      </w:r>
      <w:r w:rsidRPr="001D5B51">
        <w:rPr>
          <w:rFonts w:ascii="Times New Roman" w:hAnsi="Times New Roman"/>
          <w:sz w:val="24"/>
          <w:szCs w:val="24"/>
        </w:rPr>
        <w:t xml:space="preserve"> and preserved.</w:t>
      </w:r>
    </w:p>
    <w:p w:rsidR="001E7E9D" w:rsidRPr="001D5B51" w:rsidRDefault="001E7E9D" w:rsidP="006C30ED">
      <w:pPr>
        <w:tabs>
          <w:tab w:val="left" w:pos="630"/>
        </w:tabs>
        <w:spacing w:before="20" w:after="20" w:line="360" w:lineRule="auto"/>
        <w:ind w:left="90"/>
        <w:rPr>
          <w:rFonts w:ascii="Times New Roman" w:hAnsi="Times New Roman"/>
          <w:sz w:val="24"/>
          <w:szCs w:val="24"/>
        </w:rPr>
      </w:pPr>
    </w:p>
    <w:p w:rsidR="001E7E9D" w:rsidRDefault="001E7E9D" w:rsidP="006C30ED">
      <w:pPr>
        <w:tabs>
          <w:tab w:val="left" w:pos="630"/>
        </w:tabs>
        <w:spacing w:before="20" w:after="20" w:line="360" w:lineRule="auto"/>
        <w:ind w:left="90"/>
        <w:rPr>
          <w:rFonts w:ascii="Times New Roman" w:hAnsi="Times New Roman"/>
          <w:sz w:val="24"/>
          <w:szCs w:val="24"/>
        </w:rPr>
      </w:pPr>
      <w:r w:rsidRPr="001D5B51">
        <w:rPr>
          <w:rFonts w:ascii="Times New Roman" w:hAnsi="Times New Roman"/>
          <w:sz w:val="24"/>
          <w:szCs w:val="24"/>
        </w:rPr>
        <w:t>Finally, we applaud</w:t>
      </w:r>
      <w:r>
        <w:rPr>
          <w:rFonts w:ascii="Times New Roman" w:hAnsi="Times New Roman"/>
          <w:sz w:val="24"/>
          <w:szCs w:val="24"/>
        </w:rPr>
        <w:t xml:space="preserve"> the spirit and objectives </w:t>
      </w:r>
      <w:r w:rsidRPr="001D5B51">
        <w:rPr>
          <w:rFonts w:ascii="Times New Roman" w:hAnsi="Times New Roman"/>
          <w:sz w:val="24"/>
          <w:szCs w:val="24"/>
        </w:rPr>
        <w:t xml:space="preserve">of the Department's Proposed Regulation.  </w:t>
      </w:r>
      <w:r>
        <w:rPr>
          <w:rFonts w:ascii="Times New Roman" w:hAnsi="Times New Roman"/>
          <w:sz w:val="24"/>
          <w:szCs w:val="24"/>
        </w:rPr>
        <w:t>As</w:t>
      </w:r>
      <w:r w:rsidRPr="001D5B51">
        <w:rPr>
          <w:rFonts w:ascii="Times New Roman" w:hAnsi="Times New Roman"/>
          <w:sz w:val="24"/>
          <w:szCs w:val="24"/>
        </w:rPr>
        <w:t xml:space="preserve"> waves after waves of the Baby Boomer generation </w:t>
      </w:r>
      <w:r>
        <w:rPr>
          <w:rFonts w:ascii="Times New Roman" w:hAnsi="Times New Roman"/>
          <w:sz w:val="24"/>
          <w:szCs w:val="24"/>
        </w:rPr>
        <w:t>reach</w:t>
      </w:r>
      <w:r w:rsidRPr="001D5B51">
        <w:rPr>
          <w:rFonts w:ascii="Times New Roman" w:hAnsi="Times New Roman"/>
          <w:sz w:val="24"/>
          <w:szCs w:val="24"/>
        </w:rPr>
        <w:t xml:space="preserve"> retirement, we look to the Department </w:t>
      </w:r>
      <w:r>
        <w:rPr>
          <w:rFonts w:ascii="Times New Roman" w:hAnsi="Times New Roman"/>
          <w:sz w:val="24"/>
          <w:szCs w:val="24"/>
        </w:rPr>
        <w:t>to continue</w:t>
      </w:r>
      <w:r w:rsidRPr="001D5B51">
        <w:rPr>
          <w:rFonts w:ascii="Times New Roman" w:hAnsi="Times New Roman"/>
          <w:sz w:val="24"/>
          <w:szCs w:val="24"/>
        </w:rPr>
        <w:t xml:space="preserve"> protecting the rights of participants and beneficiaries by holding parties-in-interest responsible for their actions.</w:t>
      </w:r>
    </w:p>
    <w:p w:rsidR="001E7E9D" w:rsidRDefault="001E7E9D" w:rsidP="006C30ED">
      <w:pPr>
        <w:tabs>
          <w:tab w:val="left" w:pos="630"/>
        </w:tabs>
        <w:spacing w:before="20" w:after="20" w:line="360" w:lineRule="auto"/>
        <w:ind w:left="90"/>
        <w:rPr>
          <w:rFonts w:ascii="Times New Roman" w:hAnsi="Times New Roman"/>
          <w:sz w:val="24"/>
          <w:szCs w:val="24"/>
        </w:rPr>
      </w:pPr>
    </w:p>
    <w:p w:rsidR="001E7E9D" w:rsidRPr="001D5B51" w:rsidRDefault="001E7E9D" w:rsidP="006C30ED">
      <w:pPr>
        <w:tabs>
          <w:tab w:val="left" w:pos="630"/>
        </w:tabs>
        <w:spacing w:before="20" w:after="20" w:line="360" w:lineRule="auto"/>
        <w:ind w:left="90"/>
        <w:rPr>
          <w:rFonts w:ascii="Times New Roman" w:hAnsi="Times New Roman"/>
          <w:sz w:val="24"/>
          <w:szCs w:val="24"/>
        </w:rPr>
      </w:pPr>
      <w:r w:rsidRPr="001D5B51">
        <w:rPr>
          <w:rFonts w:ascii="Times New Roman" w:hAnsi="Times New Roman"/>
          <w:sz w:val="24"/>
          <w:szCs w:val="24"/>
        </w:rPr>
        <w:t>Thank you for the opportunity t</w:t>
      </w:r>
      <w:r>
        <w:rPr>
          <w:rFonts w:ascii="Times New Roman" w:hAnsi="Times New Roman"/>
          <w:sz w:val="24"/>
          <w:szCs w:val="24"/>
        </w:rPr>
        <w:t>o offer comments regarding the Seller Exemption</w:t>
      </w:r>
      <w:r w:rsidRPr="001D5B51">
        <w:rPr>
          <w:rFonts w:ascii="Times New Roman" w:hAnsi="Times New Roman"/>
          <w:sz w:val="24"/>
          <w:szCs w:val="24"/>
        </w:rPr>
        <w:t xml:space="preserve">.  We are available to answer any questions you may have. </w:t>
      </w:r>
    </w:p>
    <w:p w:rsidR="001E7E9D" w:rsidRDefault="001E7E9D" w:rsidP="006C30ED">
      <w:pPr>
        <w:tabs>
          <w:tab w:val="left" w:pos="630"/>
        </w:tabs>
        <w:spacing w:before="20" w:after="20" w:line="360" w:lineRule="auto"/>
        <w:ind w:left="90"/>
        <w:rPr>
          <w:rFonts w:ascii="Times New Roman" w:hAnsi="Times New Roman"/>
          <w:sz w:val="24"/>
          <w:szCs w:val="24"/>
        </w:rPr>
      </w:pPr>
    </w:p>
    <w:p w:rsidR="001E7E9D" w:rsidRDefault="001E7E9D" w:rsidP="00E35782">
      <w:pPr>
        <w:tabs>
          <w:tab w:val="left" w:pos="630"/>
        </w:tabs>
        <w:spacing w:before="20" w:after="20" w:line="360" w:lineRule="auto"/>
        <w:ind w:left="90"/>
        <w:rPr>
          <w:rFonts w:ascii="Times New Roman" w:hAnsi="Times New Roman"/>
          <w:sz w:val="24"/>
          <w:szCs w:val="24"/>
        </w:rPr>
      </w:pPr>
      <w:r>
        <w:rPr>
          <w:rFonts w:ascii="Times New Roman" w:hAnsi="Times New Roman"/>
          <w:sz w:val="24"/>
          <w:szCs w:val="24"/>
        </w:rPr>
        <w:t>Sincerely,</w:t>
      </w:r>
    </w:p>
    <w:p w:rsidR="001E7E9D" w:rsidRDefault="001E7E9D" w:rsidP="00E35782">
      <w:pPr>
        <w:tabs>
          <w:tab w:val="left" w:pos="630"/>
        </w:tabs>
        <w:spacing w:before="20" w:after="20" w:line="360" w:lineRule="auto"/>
        <w:ind w:left="90"/>
        <w:rPr>
          <w:rFonts w:ascii="Times New Roman" w:hAnsi="Times New Roman"/>
          <w:sz w:val="24"/>
          <w:szCs w:val="24"/>
        </w:rPr>
      </w:pPr>
    </w:p>
    <w:p w:rsidR="001E7E9D" w:rsidRDefault="001E7E9D" w:rsidP="00E35782">
      <w:pPr>
        <w:tabs>
          <w:tab w:val="left" w:pos="630"/>
        </w:tabs>
        <w:spacing w:before="20" w:after="20" w:line="360" w:lineRule="auto"/>
        <w:ind w:left="90"/>
        <w:rPr>
          <w:rFonts w:ascii="Times New Roman" w:hAnsi="Times New Roman"/>
          <w:sz w:val="24"/>
          <w:szCs w:val="24"/>
        </w:rPr>
      </w:pPr>
    </w:p>
    <w:p w:rsidR="001E7E9D" w:rsidRDefault="001E7E9D" w:rsidP="00E35782">
      <w:pPr>
        <w:tabs>
          <w:tab w:val="left" w:pos="630"/>
        </w:tabs>
        <w:spacing w:before="20" w:after="20" w:line="360" w:lineRule="auto"/>
        <w:ind w:left="90"/>
        <w:rPr>
          <w:rFonts w:ascii="Times New Roman" w:hAnsi="Times New Roman"/>
          <w:sz w:val="24"/>
          <w:szCs w:val="24"/>
        </w:rPr>
      </w:pPr>
      <w:r>
        <w:rPr>
          <w:rFonts w:ascii="Times New Roman" w:hAnsi="Times New Roman"/>
          <w:sz w:val="24"/>
          <w:szCs w:val="24"/>
        </w:rPr>
        <w:t xml:space="preserve">Knut A. Rostad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Philip Chao </w:t>
      </w:r>
    </w:p>
    <w:p w:rsidR="001E7E9D" w:rsidRDefault="001E7E9D" w:rsidP="00E35782">
      <w:pPr>
        <w:tabs>
          <w:tab w:val="left" w:pos="630"/>
        </w:tabs>
        <w:spacing w:before="20" w:after="20" w:line="360" w:lineRule="auto"/>
        <w:ind w:left="90"/>
        <w:rPr>
          <w:rFonts w:ascii="Times New Roman" w:hAnsi="Times New Roman"/>
          <w:sz w:val="24"/>
          <w:szCs w:val="24"/>
        </w:rPr>
      </w:pPr>
      <w:r>
        <w:rPr>
          <w:rFonts w:ascii="Times New Roman" w:hAnsi="Times New Roman"/>
          <w:sz w:val="24"/>
          <w:szCs w:val="24"/>
        </w:rPr>
        <w:t xml:space="preserve">President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Founder</w:t>
      </w:r>
    </w:p>
    <w:p w:rsidR="001E7E9D" w:rsidRDefault="001E7E9D" w:rsidP="006C30ED">
      <w:pPr>
        <w:tabs>
          <w:tab w:val="left" w:pos="630"/>
        </w:tabs>
        <w:spacing w:before="20" w:after="20" w:line="360" w:lineRule="auto"/>
        <w:ind w:left="90"/>
        <w:rPr>
          <w:rFonts w:ascii="Times New Roman" w:hAnsi="Times New Roman"/>
          <w:sz w:val="24"/>
          <w:szCs w:val="24"/>
        </w:rPr>
      </w:pPr>
    </w:p>
    <w:p w:rsidR="001E7E9D" w:rsidRDefault="001E7E9D" w:rsidP="006C30ED">
      <w:pPr>
        <w:tabs>
          <w:tab w:val="left" w:pos="630"/>
        </w:tabs>
        <w:spacing w:before="20" w:after="20" w:line="360" w:lineRule="auto"/>
        <w:ind w:left="90"/>
        <w:rPr>
          <w:rFonts w:ascii="Times New Roman" w:hAnsi="Times New Roman"/>
          <w:sz w:val="24"/>
          <w:szCs w:val="24"/>
        </w:rPr>
      </w:pPr>
    </w:p>
    <w:p w:rsidR="001E7E9D" w:rsidRDefault="001E7E9D" w:rsidP="006C30ED">
      <w:pPr>
        <w:tabs>
          <w:tab w:val="left" w:pos="630"/>
        </w:tabs>
        <w:spacing w:before="20" w:after="20" w:line="360" w:lineRule="auto"/>
        <w:ind w:left="90"/>
        <w:rPr>
          <w:rFonts w:ascii="Times New Roman" w:hAnsi="Times New Roman"/>
          <w:sz w:val="24"/>
          <w:szCs w:val="24"/>
        </w:rPr>
      </w:pPr>
    </w:p>
    <w:sectPr w:rsidR="001E7E9D" w:rsidSect="00340A67">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7E9D" w:rsidRDefault="001E7E9D" w:rsidP="001D5B51">
      <w:pPr>
        <w:spacing w:line="240" w:lineRule="auto"/>
      </w:pPr>
      <w:r>
        <w:separator/>
      </w:r>
    </w:p>
  </w:endnote>
  <w:endnote w:type="continuationSeparator" w:id="1">
    <w:p w:rsidR="001E7E9D" w:rsidRDefault="001E7E9D" w:rsidP="001D5B5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E9D" w:rsidRDefault="001E7E9D">
    <w:pPr>
      <w:pStyle w:val="Footer"/>
      <w:jc w:val="right"/>
    </w:pPr>
    <w:fldSimple w:instr=" PAGE   \* MERGEFORMAT ">
      <w:r>
        <w:rPr>
          <w:noProof/>
        </w:rPr>
        <w:t>1</w:t>
      </w:r>
    </w:fldSimple>
  </w:p>
  <w:p w:rsidR="001E7E9D" w:rsidRDefault="001E7E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7E9D" w:rsidRDefault="001E7E9D" w:rsidP="001D5B51">
      <w:pPr>
        <w:spacing w:line="240" w:lineRule="auto"/>
      </w:pPr>
      <w:r>
        <w:separator/>
      </w:r>
    </w:p>
  </w:footnote>
  <w:footnote w:type="continuationSeparator" w:id="1">
    <w:p w:rsidR="001E7E9D" w:rsidRDefault="001E7E9D" w:rsidP="001D5B51">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5CE3"/>
    <w:rsid w:val="000A24DC"/>
    <w:rsid w:val="000B3903"/>
    <w:rsid w:val="001062CC"/>
    <w:rsid w:val="001256EF"/>
    <w:rsid w:val="0013683E"/>
    <w:rsid w:val="00185F1A"/>
    <w:rsid w:val="001D5B51"/>
    <w:rsid w:val="001E7E9D"/>
    <w:rsid w:val="002267A4"/>
    <w:rsid w:val="00330CE3"/>
    <w:rsid w:val="00340A67"/>
    <w:rsid w:val="00393DC6"/>
    <w:rsid w:val="004359C1"/>
    <w:rsid w:val="004853DE"/>
    <w:rsid w:val="004D4427"/>
    <w:rsid w:val="005E28F1"/>
    <w:rsid w:val="00602841"/>
    <w:rsid w:val="00691FE0"/>
    <w:rsid w:val="006A36C8"/>
    <w:rsid w:val="006C30ED"/>
    <w:rsid w:val="006D0E8D"/>
    <w:rsid w:val="00700C60"/>
    <w:rsid w:val="00705CE3"/>
    <w:rsid w:val="00723ABD"/>
    <w:rsid w:val="00766C2F"/>
    <w:rsid w:val="008259C3"/>
    <w:rsid w:val="00846B8F"/>
    <w:rsid w:val="008601F9"/>
    <w:rsid w:val="00861AE3"/>
    <w:rsid w:val="008A538E"/>
    <w:rsid w:val="009079E1"/>
    <w:rsid w:val="00942863"/>
    <w:rsid w:val="00960278"/>
    <w:rsid w:val="009750DA"/>
    <w:rsid w:val="009B7728"/>
    <w:rsid w:val="00A648C9"/>
    <w:rsid w:val="00AE03A2"/>
    <w:rsid w:val="00BD4B69"/>
    <w:rsid w:val="00BE634F"/>
    <w:rsid w:val="00C15196"/>
    <w:rsid w:val="00C73859"/>
    <w:rsid w:val="00C87AEE"/>
    <w:rsid w:val="00CB53FB"/>
    <w:rsid w:val="00CE3EAB"/>
    <w:rsid w:val="00D46F92"/>
    <w:rsid w:val="00D60B55"/>
    <w:rsid w:val="00E35782"/>
    <w:rsid w:val="00E772F4"/>
    <w:rsid w:val="00EC0369"/>
    <w:rsid w:val="00F0371C"/>
    <w:rsid w:val="00F14270"/>
    <w:rsid w:val="00F90EAF"/>
    <w:rsid w:val="00F9435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A67"/>
    <w:pPr>
      <w:spacing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6D0E8D"/>
    <w:rPr>
      <w:rFonts w:cs="Times New Roman"/>
      <w:color w:val="0000FF"/>
      <w:u w:val="single"/>
    </w:rPr>
  </w:style>
  <w:style w:type="paragraph" w:styleId="BalloonText">
    <w:name w:val="Balloon Text"/>
    <w:basedOn w:val="Normal"/>
    <w:link w:val="BalloonTextChar"/>
    <w:uiPriority w:val="99"/>
    <w:semiHidden/>
    <w:rsid w:val="000B390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B3903"/>
    <w:rPr>
      <w:rFonts w:ascii="Tahoma" w:hAnsi="Tahoma" w:cs="Tahoma"/>
      <w:sz w:val="16"/>
      <w:szCs w:val="16"/>
    </w:rPr>
  </w:style>
  <w:style w:type="paragraph" w:styleId="Header">
    <w:name w:val="header"/>
    <w:basedOn w:val="Normal"/>
    <w:link w:val="HeaderChar"/>
    <w:uiPriority w:val="99"/>
    <w:semiHidden/>
    <w:rsid w:val="001D5B51"/>
    <w:pPr>
      <w:tabs>
        <w:tab w:val="center" w:pos="4680"/>
        <w:tab w:val="right" w:pos="9360"/>
      </w:tabs>
      <w:spacing w:line="240" w:lineRule="auto"/>
    </w:pPr>
  </w:style>
  <w:style w:type="character" w:customStyle="1" w:styleId="HeaderChar">
    <w:name w:val="Header Char"/>
    <w:basedOn w:val="DefaultParagraphFont"/>
    <w:link w:val="Header"/>
    <w:uiPriority w:val="99"/>
    <w:semiHidden/>
    <w:locked/>
    <w:rsid w:val="001D5B51"/>
    <w:rPr>
      <w:rFonts w:cs="Times New Roman"/>
    </w:rPr>
  </w:style>
  <w:style w:type="paragraph" w:styleId="Footer">
    <w:name w:val="footer"/>
    <w:basedOn w:val="Normal"/>
    <w:link w:val="FooterChar"/>
    <w:uiPriority w:val="99"/>
    <w:rsid w:val="001D5B51"/>
    <w:pPr>
      <w:tabs>
        <w:tab w:val="center" w:pos="4680"/>
        <w:tab w:val="right" w:pos="9360"/>
      </w:tabs>
      <w:spacing w:line="240" w:lineRule="auto"/>
    </w:pPr>
  </w:style>
  <w:style w:type="character" w:customStyle="1" w:styleId="FooterChar">
    <w:name w:val="Footer Char"/>
    <w:basedOn w:val="DefaultParagraphFont"/>
    <w:link w:val="Footer"/>
    <w:uiPriority w:val="99"/>
    <w:locked/>
    <w:rsid w:val="001D5B51"/>
    <w:rPr>
      <w:rFonts w:cs="Times New Roman"/>
    </w:rPr>
  </w:style>
</w:styles>
</file>

<file path=word/webSettings.xml><?xml version="1.0" encoding="utf-8"?>
<w:webSettings xmlns:r="http://schemas.openxmlformats.org/officeDocument/2006/relationships" xmlns:w="http://schemas.openxmlformats.org/wordprocessingml/2006/main">
  <w:divs>
    <w:div w:id="418066191">
      <w:marLeft w:val="0"/>
      <w:marRight w:val="0"/>
      <w:marTop w:val="0"/>
      <w:marBottom w:val="0"/>
      <w:divBdr>
        <w:top w:val="none" w:sz="0" w:space="0" w:color="auto"/>
        <w:left w:val="none" w:sz="0" w:space="0" w:color="auto"/>
        <w:bottom w:val="none" w:sz="0" w:space="0" w:color="auto"/>
        <w:right w:val="none" w:sz="0" w:space="0" w:color="auto"/>
      </w:divBdr>
      <w:divsChild>
        <w:div w:id="418066203">
          <w:marLeft w:val="0"/>
          <w:marRight w:val="0"/>
          <w:marTop w:val="0"/>
          <w:marBottom w:val="0"/>
          <w:divBdr>
            <w:top w:val="none" w:sz="0" w:space="0" w:color="auto"/>
            <w:left w:val="none" w:sz="0" w:space="0" w:color="auto"/>
            <w:bottom w:val="none" w:sz="0" w:space="0" w:color="auto"/>
            <w:right w:val="none" w:sz="0" w:space="0" w:color="auto"/>
          </w:divBdr>
          <w:divsChild>
            <w:div w:id="418066197">
              <w:marLeft w:val="0"/>
              <w:marRight w:val="0"/>
              <w:marTop w:val="0"/>
              <w:marBottom w:val="0"/>
              <w:divBdr>
                <w:top w:val="none" w:sz="0" w:space="0" w:color="auto"/>
                <w:left w:val="none" w:sz="0" w:space="0" w:color="auto"/>
                <w:bottom w:val="none" w:sz="0" w:space="0" w:color="auto"/>
                <w:right w:val="none" w:sz="0" w:space="0" w:color="auto"/>
              </w:divBdr>
              <w:divsChild>
                <w:div w:id="418066189">
                  <w:marLeft w:val="0"/>
                  <w:marRight w:val="0"/>
                  <w:marTop w:val="0"/>
                  <w:marBottom w:val="0"/>
                  <w:divBdr>
                    <w:top w:val="none" w:sz="0" w:space="0" w:color="auto"/>
                    <w:left w:val="none" w:sz="0" w:space="0" w:color="auto"/>
                    <w:bottom w:val="none" w:sz="0" w:space="0" w:color="auto"/>
                    <w:right w:val="none" w:sz="0" w:space="0" w:color="auto"/>
                  </w:divBdr>
                  <w:divsChild>
                    <w:div w:id="418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066192">
      <w:marLeft w:val="0"/>
      <w:marRight w:val="0"/>
      <w:marTop w:val="0"/>
      <w:marBottom w:val="0"/>
      <w:divBdr>
        <w:top w:val="none" w:sz="0" w:space="0" w:color="auto"/>
        <w:left w:val="none" w:sz="0" w:space="0" w:color="auto"/>
        <w:bottom w:val="none" w:sz="0" w:space="0" w:color="auto"/>
        <w:right w:val="none" w:sz="0" w:space="0" w:color="auto"/>
      </w:divBdr>
      <w:divsChild>
        <w:div w:id="418066188">
          <w:marLeft w:val="0"/>
          <w:marRight w:val="0"/>
          <w:marTop w:val="0"/>
          <w:marBottom w:val="0"/>
          <w:divBdr>
            <w:top w:val="none" w:sz="0" w:space="0" w:color="auto"/>
            <w:left w:val="none" w:sz="0" w:space="0" w:color="auto"/>
            <w:bottom w:val="none" w:sz="0" w:space="0" w:color="auto"/>
            <w:right w:val="none" w:sz="0" w:space="0" w:color="auto"/>
          </w:divBdr>
          <w:divsChild>
            <w:div w:id="418066200">
              <w:marLeft w:val="0"/>
              <w:marRight w:val="0"/>
              <w:marTop w:val="0"/>
              <w:marBottom w:val="0"/>
              <w:divBdr>
                <w:top w:val="none" w:sz="0" w:space="0" w:color="auto"/>
                <w:left w:val="none" w:sz="0" w:space="0" w:color="auto"/>
                <w:bottom w:val="none" w:sz="0" w:space="0" w:color="auto"/>
                <w:right w:val="none" w:sz="0" w:space="0" w:color="auto"/>
              </w:divBdr>
              <w:divsChild>
                <w:div w:id="418066198">
                  <w:marLeft w:val="0"/>
                  <w:marRight w:val="0"/>
                  <w:marTop w:val="0"/>
                  <w:marBottom w:val="0"/>
                  <w:divBdr>
                    <w:top w:val="none" w:sz="0" w:space="0" w:color="auto"/>
                    <w:left w:val="none" w:sz="0" w:space="0" w:color="auto"/>
                    <w:bottom w:val="none" w:sz="0" w:space="0" w:color="auto"/>
                    <w:right w:val="none" w:sz="0" w:space="0" w:color="auto"/>
                  </w:divBdr>
                  <w:divsChild>
                    <w:div w:id="41806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066195">
      <w:marLeft w:val="0"/>
      <w:marRight w:val="0"/>
      <w:marTop w:val="0"/>
      <w:marBottom w:val="0"/>
      <w:divBdr>
        <w:top w:val="none" w:sz="0" w:space="0" w:color="auto"/>
        <w:left w:val="none" w:sz="0" w:space="0" w:color="auto"/>
        <w:bottom w:val="none" w:sz="0" w:space="0" w:color="auto"/>
        <w:right w:val="none" w:sz="0" w:space="0" w:color="auto"/>
      </w:divBdr>
      <w:divsChild>
        <w:div w:id="418066205">
          <w:marLeft w:val="0"/>
          <w:marRight w:val="0"/>
          <w:marTop w:val="0"/>
          <w:marBottom w:val="0"/>
          <w:divBdr>
            <w:top w:val="none" w:sz="0" w:space="0" w:color="auto"/>
            <w:left w:val="none" w:sz="0" w:space="0" w:color="auto"/>
            <w:bottom w:val="none" w:sz="0" w:space="0" w:color="auto"/>
            <w:right w:val="none" w:sz="0" w:space="0" w:color="auto"/>
          </w:divBdr>
          <w:divsChild>
            <w:div w:id="418066193">
              <w:marLeft w:val="0"/>
              <w:marRight w:val="0"/>
              <w:marTop w:val="0"/>
              <w:marBottom w:val="0"/>
              <w:divBdr>
                <w:top w:val="none" w:sz="0" w:space="0" w:color="auto"/>
                <w:left w:val="none" w:sz="0" w:space="0" w:color="auto"/>
                <w:bottom w:val="none" w:sz="0" w:space="0" w:color="auto"/>
                <w:right w:val="none" w:sz="0" w:space="0" w:color="auto"/>
              </w:divBdr>
              <w:divsChild>
                <w:div w:id="418066204">
                  <w:marLeft w:val="0"/>
                  <w:marRight w:val="0"/>
                  <w:marTop w:val="0"/>
                  <w:marBottom w:val="0"/>
                  <w:divBdr>
                    <w:top w:val="none" w:sz="0" w:space="0" w:color="auto"/>
                    <w:left w:val="none" w:sz="0" w:space="0" w:color="auto"/>
                    <w:bottom w:val="none" w:sz="0" w:space="0" w:color="auto"/>
                    <w:right w:val="none" w:sz="0" w:space="0" w:color="auto"/>
                  </w:divBdr>
                  <w:divsChild>
                    <w:div w:id="41806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066206">
      <w:marLeft w:val="0"/>
      <w:marRight w:val="0"/>
      <w:marTop w:val="0"/>
      <w:marBottom w:val="0"/>
      <w:divBdr>
        <w:top w:val="none" w:sz="0" w:space="0" w:color="auto"/>
        <w:left w:val="none" w:sz="0" w:space="0" w:color="auto"/>
        <w:bottom w:val="none" w:sz="0" w:space="0" w:color="auto"/>
        <w:right w:val="none" w:sz="0" w:space="0" w:color="auto"/>
      </w:divBdr>
      <w:divsChild>
        <w:div w:id="418066194">
          <w:marLeft w:val="0"/>
          <w:marRight w:val="0"/>
          <w:marTop w:val="0"/>
          <w:marBottom w:val="0"/>
          <w:divBdr>
            <w:top w:val="none" w:sz="0" w:space="0" w:color="auto"/>
            <w:left w:val="none" w:sz="0" w:space="0" w:color="auto"/>
            <w:bottom w:val="none" w:sz="0" w:space="0" w:color="auto"/>
            <w:right w:val="none" w:sz="0" w:space="0" w:color="auto"/>
          </w:divBdr>
          <w:divsChild>
            <w:div w:id="418066196">
              <w:marLeft w:val="0"/>
              <w:marRight w:val="0"/>
              <w:marTop w:val="0"/>
              <w:marBottom w:val="0"/>
              <w:divBdr>
                <w:top w:val="none" w:sz="0" w:space="0" w:color="auto"/>
                <w:left w:val="none" w:sz="0" w:space="0" w:color="auto"/>
                <w:bottom w:val="none" w:sz="0" w:space="0" w:color="auto"/>
                <w:right w:val="none" w:sz="0" w:space="0" w:color="auto"/>
              </w:divBdr>
              <w:divsChild>
                <w:div w:id="418066201">
                  <w:marLeft w:val="0"/>
                  <w:marRight w:val="0"/>
                  <w:marTop w:val="0"/>
                  <w:marBottom w:val="0"/>
                  <w:divBdr>
                    <w:top w:val="none" w:sz="0" w:space="0" w:color="auto"/>
                    <w:left w:val="none" w:sz="0" w:space="0" w:color="auto"/>
                    <w:bottom w:val="none" w:sz="0" w:space="0" w:color="auto"/>
                    <w:right w:val="none" w:sz="0" w:space="0" w:color="auto"/>
                  </w:divBdr>
                  <w:divsChild>
                    <w:div w:id="41806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8</Pages>
  <Words>2530</Words>
  <Characters>14422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Committee for the Fiduciary Standard</dc:title>
  <dc:subject/>
  <dc:creator>Philip Chao</dc:creator>
  <cp:keywords/>
  <dc:description/>
  <cp:lastModifiedBy>Knut A Rostad</cp:lastModifiedBy>
  <cp:revision>3</cp:revision>
  <cp:lastPrinted>2011-09-08T17:56:00Z</cp:lastPrinted>
  <dcterms:created xsi:type="dcterms:W3CDTF">2011-09-08T17:57:00Z</dcterms:created>
  <dcterms:modified xsi:type="dcterms:W3CDTF">2011-09-08T21:14:00Z</dcterms:modified>
</cp:coreProperties>
</file>