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DD" w:rsidRPr="00B34E2C" w:rsidRDefault="007858DD" w:rsidP="008E1AAF">
      <w:pPr>
        <w:rPr>
          <w:rFonts w:ascii="Times New Roman" w:hAnsi="Times New Roman"/>
          <w:color w:val="000000"/>
          <w:sz w:val="52"/>
          <w:szCs w:val="52"/>
        </w:rPr>
      </w:pPr>
      <w:r w:rsidRPr="00B34E2C">
        <w:rPr>
          <w:rFonts w:ascii="Times New Roman" w:hAnsi="Times New Roman"/>
          <w:color w:val="000000"/>
          <w:sz w:val="52"/>
          <w:szCs w:val="52"/>
        </w:rPr>
        <w:t>Fiduciary Reference</w:t>
      </w:r>
    </w:p>
    <w:p w:rsidR="007858DD" w:rsidRPr="002E098B" w:rsidRDefault="007858DD" w:rsidP="008E1AAF">
      <w:pPr>
        <w:rPr>
          <w:rFonts w:ascii="Times New Roman" w:hAnsi="Times New Roman"/>
          <w:b/>
          <w:color w:val="000000"/>
        </w:rPr>
      </w:pPr>
      <w:r>
        <w:rPr>
          <w:rFonts w:ascii="Times New Roman" w:hAnsi="Times New Roman"/>
          <w:b/>
          <w:color w:val="000000"/>
        </w:rPr>
        <w:t xml:space="preserve"> Analysis of Investment Fiduciary Issues</w:t>
      </w:r>
    </w:p>
    <w:p w:rsidR="007858DD" w:rsidRDefault="007858DD" w:rsidP="006339CB">
      <w:pPr>
        <w:jc w:val="right"/>
        <w:rPr>
          <w:b/>
          <w:color w:val="000000"/>
        </w:rPr>
      </w:pPr>
    </w:p>
    <w:p w:rsidR="007858DD" w:rsidRPr="006339CB" w:rsidRDefault="007858DD" w:rsidP="006339CB">
      <w:pPr>
        <w:jc w:val="right"/>
        <w:rPr>
          <w:rFonts w:ascii="Times New Roman" w:hAnsi="Times New Roman"/>
          <w:color w:val="000000"/>
          <w:sz w:val="32"/>
          <w:szCs w:val="32"/>
        </w:rPr>
      </w:pPr>
      <w:r>
        <w:rPr>
          <w:b/>
          <w:color w:val="000000"/>
        </w:rPr>
        <w:t>September 9</w:t>
      </w:r>
      <w:r w:rsidRPr="00C84C4A">
        <w:rPr>
          <w:rFonts w:ascii="Times New Roman" w:hAnsi="Times New Roman"/>
          <w:b/>
          <w:color w:val="000000"/>
        </w:rPr>
        <w:t>, 2013</w:t>
      </w:r>
    </w:p>
    <w:p w:rsidR="007858DD" w:rsidRDefault="007858DD" w:rsidP="008E1AAF">
      <w:pPr>
        <w:jc w:val="center"/>
        <w:rPr>
          <w:bCs/>
          <w:color w:val="000000"/>
          <w:sz w:val="28"/>
          <w:szCs w:val="28"/>
        </w:rPr>
      </w:pPr>
    </w:p>
    <w:p w:rsidR="007858DD" w:rsidRDefault="007858DD" w:rsidP="008E1AAF">
      <w:pPr>
        <w:jc w:val="center"/>
        <w:rPr>
          <w:bCs/>
          <w:color w:val="000000"/>
          <w:sz w:val="28"/>
          <w:szCs w:val="28"/>
        </w:rPr>
      </w:pPr>
      <w:r>
        <w:rPr>
          <w:bCs/>
          <w:color w:val="000000"/>
          <w:sz w:val="28"/>
          <w:szCs w:val="28"/>
        </w:rPr>
        <w:t xml:space="preserve">Six Core Fiduciary Duties </w:t>
      </w:r>
    </w:p>
    <w:p w:rsidR="007858DD" w:rsidRDefault="007858DD" w:rsidP="008E1AAF">
      <w:pPr>
        <w:jc w:val="center"/>
        <w:rPr>
          <w:bCs/>
          <w:color w:val="000000"/>
          <w:sz w:val="28"/>
          <w:szCs w:val="28"/>
        </w:rPr>
      </w:pPr>
      <w:r>
        <w:rPr>
          <w:bCs/>
          <w:color w:val="000000"/>
          <w:sz w:val="28"/>
          <w:szCs w:val="28"/>
        </w:rPr>
        <w:t>for Financial Advisors</w:t>
      </w:r>
    </w:p>
    <w:p w:rsidR="007858DD" w:rsidRDefault="007858DD" w:rsidP="008E1AAF">
      <w:pPr>
        <w:jc w:val="center"/>
        <w:rPr>
          <w:bCs/>
          <w:color w:val="000000"/>
        </w:rPr>
      </w:pPr>
    </w:p>
    <w:p w:rsidR="007858DD" w:rsidRPr="006339CB" w:rsidRDefault="007858DD" w:rsidP="008E1AAF">
      <w:pPr>
        <w:jc w:val="center"/>
        <w:rPr>
          <w:bCs/>
          <w:color w:val="000000"/>
        </w:rPr>
      </w:pPr>
      <w:r w:rsidRPr="006339CB">
        <w:rPr>
          <w:bCs/>
          <w:color w:val="000000"/>
        </w:rPr>
        <w:t>Knut A. Rostad</w:t>
      </w:r>
      <w:r>
        <w:rPr>
          <w:bCs/>
          <w:color w:val="000000"/>
        </w:rPr>
        <w:t xml:space="preserve"> *</w:t>
      </w:r>
    </w:p>
    <w:p w:rsidR="007858DD" w:rsidRDefault="007858DD" w:rsidP="008E1AAF">
      <w:pPr>
        <w:rPr>
          <w:b/>
          <w:bCs/>
          <w:color w:val="000000"/>
        </w:rPr>
      </w:pPr>
      <w:r>
        <w:rPr>
          <w:b/>
          <w:bCs/>
          <w:color w:val="000000"/>
        </w:rPr>
        <w:t xml:space="preserve"> </w:t>
      </w:r>
    </w:p>
    <w:p w:rsidR="007858DD" w:rsidRPr="008E1AAF" w:rsidRDefault="007858DD" w:rsidP="008E1AAF">
      <w:pPr>
        <w:rPr>
          <w:rFonts w:ascii="Times New Roman" w:hAnsi="Times New Roman"/>
          <w:color w:val="000000"/>
        </w:rPr>
      </w:pPr>
      <w:r w:rsidRPr="008E1AAF">
        <w:rPr>
          <w:rFonts w:ascii="Times New Roman" w:hAnsi="Times New Roman"/>
          <w:b/>
          <w:bCs/>
          <w:color w:val="000000"/>
        </w:rPr>
        <w:t>Introduction</w:t>
      </w:r>
    </w:p>
    <w:p w:rsidR="007858DD" w:rsidRPr="008E1AAF" w:rsidRDefault="007858DD" w:rsidP="008E1AAF">
      <w:pPr>
        <w:rPr>
          <w:rFonts w:ascii="Times New Roman" w:hAnsi="Times New Roman"/>
          <w:b/>
          <w:bCs/>
          <w:color w:val="000000"/>
        </w:rPr>
      </w:pPr>
    </w:p>
    <w:p w:rsidR="007858DD" w:rsidRPr="008E1AAF" w:rsidRDefault="007858DD" w:rsidP="008E1AAF">
      <w:pPr>
        <w:rPr>
          <w:rFonts w:ascii="Times New Roman" w:hAnsi="Times New Roman"/>
        </w:rPr>
      </w:pPr>
      <w:r w:rsidRPr="008E1AAF">
        <w:rPr>
          <w:rFonts w:ascii="Times New Roman" w:hAnsi="Times New Roman"/>
        </w:rPr>
        <w:t>Fiduciary duties exist to mitigate the information asymmetry (also known as the “knowledge gap”) between expert providers of socially important services – such as law, finance and medicine – and the non-expert, consumers of these services.</w:t>
      </w:r>
      <w:r>
        <w:rPr>
          <w:rFonts w:ascii="Times New Roman" w:hAnsi="Times New Roman"/>
        </w:rPr>
        <w:t xml:space="preserve"> This knowledge gap is neutralized</w:t>
      </w:r>
      <w:r w:rsidRPr="008E1AAF">
        <w:rPr>
          <w:rFonts w:ascii="Times New Roman" w:hAnsi="Times New Roman"/>
        </w:rPr>
        <w:t xml:space="preserve"> by requiring experts to be fiduciaries. Fiduciaries are bound by an undivided loyalty to clients, to put clients’ interests first, ahead of their own interests. Here is the legal and practical basis for investors to rely on the advice of experts, and enter relationships of trust and confidence. Fiduciary law, then, is the foundation on which investor trust is based.</w:t>
      </w:r>
      <w:r w:rsidRPr="008E1AAF">
        <w:rPr>
          <w:rFonts w:ascii="Times New Roman" w:hAnsi="Times New Roman"/>
          <w:b/>
        </w:rPr>
        <w:t xml:space="preserve"> </w:t>
      </w:r>
      <w:r w:rsidRPr="008E1AAF">
        <w:rPr>
          <w:rFonts w:ascii="Times New Roman" w:hAnsi="Times New Roman"/>
          <w:b/>
          <w:sz w:val="16"/>
          <w:szCs w:val="16"/>
        </w:rPr>
        <w:t>1</w:t>
      </w:r>
      <w:r w:rsidRPr="008E1AAF">
        <w:rPr>
          <w:rFonts w:ascii="Times New Roman" w:hAnsi="Times New Roman"/>
        </w:rPr>
        <w:t xml:space="preserve"> </w:t>
      </w:r>
    </w:p>
    <w:p w:rsidR="007858DD" w:rsidRPr="008E1AAF" w:rsidRDefault="007858DD" w:rsidP="008E1AAF">
      <w:pPr>
        <w:rPr>
          <w:rFonts w:ascii="Times New Roman" w:hAnsi="Times New Roman"/>
          <w:bCs/>
          <w:color w:val="000000"/>
        </w:rPr>
      </w:pPr>
    </w:p>
    <w:p w:rsidR="007858DD" w:rsidRPr="008E1AAF" w:rsidRDefault="007858DD" w:rsidP="008E1AAF">
      <w:pPr>
        <w:rPr>
          <w:rFonts w:ascii="Times New Roman" w:hAnsi="Times New Roman"/>
          <w:color w:val="000000"/>
        </w:rPr>
      </w:pPr>
      <w:r w:rsidRPr="008E1AAF">
        <w:rPr>
          <w:rFonts w:ascii="Times New Roman" w:hAnsi="Times New Roman"/>
          <w:bCs/>
          <w:color w:val="000000"/>
        </w:rPr>
        <w:t xml:space="preserve">Fiduciary care embodies the highest standard of excellence. Throughout history, fiduciaries have held a unique and important role in law and the investment profession. Fiduciaries possess two sets of attributes distinct from business practitioners meeting a commercial standard of conduct. Fiduciaries possess the technical expertise, experience and specialized knowledge that equip them to render advice (due care). They are also bound by an undivided loyalty to their client. </w:t>
      </w:r>
    </w:p>
    <w:p w:rsidR="007858DD" w:rsidRPr="008E1AAF" w:rsidRDefault="007858DD" w:rsidP="008E1AAF">
      <w:pPr>
        <w:rPr>
          <w:rFonts w:ascii="Times New Roman" w:hAnsi="Times New Roman"/>
          <w:color w:val="000000"/>
        </w:rPr>
      </w:pPr>
      <w:r w:rsidRPr="008E1AAF">
        <w:rPr>
          <w:rFonts w:ascii="Times New Roman" w:hAnsi="Times New Roman"/>
          <w:color w:val="000000"/>
        </w:rPr>
        <w:t> </w:t>
      </w:r>
    </w:p>
    <w:p w:rsidR="007858DD" w:rsidRPr="008E1AAF" w:rsidRDefault="007858DD" w:rsidP="008E1AAF">
      <w:pPr>
        <w:ind w:left="720" w:hanging="720"/>
        <w:rPr>
          <w:rFonts w:ascii="Times New Roman" w:hAnsi="Times New Roman"/>
          <w:bCs/>
          <w:color w:val="000000"/>
        </w:rPr>
      </w:pPr>
      <w:r w:rsidRPr="008E1AAF">
        <w:rPr>
          <w:rFonts w:ascii="Times New Roman" w:hAnsi="Times New Roman"/>
          <w:bCs/>
          <w:color w:val="000000"/>
        </w:rPr>
        <w:t>Th</w:t>
      </w:r>
      <w:r>
        <w:rPr>
          <w:rFonts w:ascii="Times New Roman" w:hAnsi="Times New Roman"/>
          <w:bCs/>
          <w:color w:val="000000"/>
        </w:rPr>
        <w:t xml:space="preserve">e Six Core Fiduciary Duties </w:t>
      </w:r>
      <w:r w:rsidRPr="008E1AAF">
        <w:rPr>
          <w:rFonts w:ascii="Times New Roman" w:hAnsi="Times New Roman"/>
          <w:bCs/>
          <w:color w:val="000000"/>
        </w:rPr>
        <w:t xml:space="preserve">embody the major elements of fiduciary responsibility </w:t>
      </w:r>
    </w:p>
    <w:p w:rsidR="007858DD" w:rsidRDefault="007858DD" w:rsidP="000D1345">
      <w:pPr>
        <w:ind w:left="720" w:hanging="720"/>
        <w:rPr>
          <w:rFonts w:ascii="Times New Roman" w:hAnsi="Times New Roman"/>
          <w:bCs/>
          <w:color w:val="000000"/>
        </w:rPr>
      </w:pPr>
      <w:r w:rsidRPr="008E1AAF">
        <w:rPr>
          <w:rFonts w:ascii="Times New Roman" w:hAnsi="Times New Roman"/>
          <w:bCs/>
          <w:color w:val="000000"/>
        </w:rPr>
        <w:t>under the Advisers Act of 1940. The duties are explained</w:t>
      </w:r>
      <w:r>
        <w:rPr>
          <w:rFonts w:ascii="Times New Roman" w:hAnsi="Times New Roman"/>
          <w:bCs/>
          <w:color w:val="000000"/>
        </w:rPr>
        <w:t>, in part, through the</w:t>
      </w:r>
      <w:r w:rsidRPr="008E1AAF">
        <w:rPr>
          <w:rFonts w:ascii="Times New Roman" w:hAnsi="Times New Roman"/>
          <w:bCs/>
          <w:color w:val="000000"/>
        </w:rPr>
        <w:t xml:space="preserve"> principles </w:t>
      </w:r>
    </w:p>
    <w:p w:rsidR="007858DD" w:rsidRPr="000D1345" w:rsidRDefault="007858DD" w:rsidP="000D1345">
      <w:pPr>
        <w:ind w:left="720" w:hanging="720"/>
        <w:rPr>
          <w:rFonts w:ascii="Times New Roman" w:hAnsi="Times New Roman"/>
          <w:bCs/>
          <w:color w:val="000000"/>
        </w:rPr>
      </w:pPr>
      <w:r w:rsidRPr="008E1AAF">
        <w:rPr>
          <w:rFonts w:ascii="Times New Roman" w:hAnsi="Times New Roman"/>
          <w:bCs/>
          <w:color w:val="000000"/>
        </w:rPr>
        <w:t xml:space="preserve">articulated by the SEC Commissioners in its off-cited 1948 case, </w:t>
      </w:r>
      <w:r w:rsidRPr="008E1AAF">
        <w:rPr>
          <w:rFonts w:ascii="Times New Roman" w:hAnsi="Times New Roman"/>
          <w:i/>
        </w:rPr>
        <w:t xml:space="preserve">In the Matter of </w:t>
      </w:r>
    </w:p>
    <w:p w:rsidR="007858DD" w:rsidRDefault="007858DD" w:rsidP="002553D8">
      <w:pPr>
        <w:ind w:left="720" w:hanging="720"/>
        <w:rPr>
          <w:rFonts w:ascii="Times New Roman" w:hAnsi="Times New Roman"/>
          <w:bCs/>
          <w:color w:val="000000"/>
        </w:rPr>
      </w:pPr>
      <w:r w:rsidRPr="008E1AAF">
        <w:rPr>
          <w:rFonts w:ascii="Times New Roman" w:hAnsi="Times New Roman"/>
          <w:i/>
        </w:rPr>
        <w:t>Arlene Hughes</w:t>
      </w:r>
      <w:r w:rsidRPr="008E1AAF">
        <w:rPr>
          <w:rFonts w:ascii="Times New Roman" w:hAnsi="Times New Roman"/>
          <w:bCs/>
          <w:color w:val="000000"/>
        </w:rPr>
        <w:t>.</w:t>
      </w:r>
      <w:r w:rsidRPr="008E1AAF">
        <w:rPr>
          <w:rFonts w:ascii="Times New Roman" w:hAnsi="Times New Roman"/>
          <w:b/>
          <w:bCs/>
          <w:color w:val="000000"/>
          <w:sz w:val="16"/>
          <w:szCs w:val="16"/>
        </w:rPr>
        <w:t>2</w:t>
      </w:r>
      <w:r w:rsidRPr="008E1AAF">
        <w:rPr>
          <w:rFonts w:ascii="Times New Roman" w:hAnsi="Times New Roman"/>
          <w:bCs/>
          <w:color w:val="000000"/>
        </w:rPr>
        <w:t xml:space="preserve">  In </w:t>
      </w:r>
      <w:r w:rsidRPr="008E1AAF">
        <w:rPr>
          <w:rFonts w:ascii="Times New Roman" w:hAnsi="Times New Roman"/>
          <w:bCs/>
          <w:i/>
          <w:color w:val="000000"/>
        </w:rPr>
        <w:t>Hughes</w:t>
      </w:r>
      <w:r>
        <w:rPr>
          <w:rFonts w:ascii="Times New Roman" w:hAnsi="Times New Roman"/>
          <w:bCs/>
          <w:color w:val="000000"/>
        </w:rPr>
        <w:t xml:space="preserve"> the SEC clearly </w:t>
      </w:r>
      <w:r w:rsidRPr="008E1AAF">
        <w:rPr>
          <w:rFonts w:ascii="Times New Roman" w:hAnsi="Times New Roman"/>
          <w:bCs/>
          <w:color w:val="000000"/>
        </w:rPr>
        <w:t xml:space="preserve">sets out its views on essential aspects of fiduciary </w:t>
      </w:r>
    </w:p>
    <w:p w:rsidR="007858DD" w:rsidRPr="008E1AAF" w:rsidRDefault="007858DD" w:rsidP="004E5F99">
      <w:pPr>
        <w:ind w:left="720" w:hanging="720"/>
        <w:rPr>
          <w:rFonts w:ascii="Times New Roman" w:hAnsi="Times New Roman"/>
          <w:bCs/>
          <w:color w:val="000000"/>
        </w:rPr>
      </w:pPr>
      <w:r w:rsidRPr="008E1AAF">
        <w:rPr>
          <w:rFonts w:ascii="Times New Roman" w:hAnsi="Times New Roman"/>
          <w:bCs/>
          <w:color w:val="000000"/>
        </w:rPr>
        <w:t>responsibil</w:t>
      </w:r>
      <w:r>
        <w:rPr>
          <w:rFonts w:ascii="Times New Roman" w:hAnsi="Times New Roman"/>
          <w:bCs/>
          <w:color w:val="000000"/>
        </w:rPr>
        <w:t>ity, focusing on advisors</w:t>
      </w:r>
      <w:r w:rsidRPr="008E1AAF">
        <w:rPr>
          <w:rFonts w:ascii="Times New Roman" w:hAnsi="Times New Roman"/>
          <w:bCs/>
          <w:color w:val="000000"/>
        </w:rPr>
        <w:t xml:space="preserve"> burdens </w:t>
      </w:r>
      <w:r>
        <w:rPr>
          <w:rFonts w:ascii="Times New Roman" w:hAnsi="Times New Roman"/>
          <w:bCs/>
          <w:color w:val="000000"/>
        </w:rPr>
        <w:t xml:space="preserve">when conflicts are present. </w:t>
      </w:r>
      <w:r w:rsidRPr="008E1AAF">
        <w:rPr>
          <w:rFonts w:ascii="Times New Roman" w:hAnsi="Times New Roman"/>
          <w:bCs/>
          <w:color w:val="000000"/>
        </w:rPr>
        <w:t>The six duties are:</w:t>
      </w:r>
    </w:p>
    <w:p w:rsidR="007858DD" w:rsidRPr="008E1AAF" w:rsidRDefault="007858DD" w:rsidP="008E1AAF">
      <w:pPr>
        <w:rPr>
          <w:rFonts w:ascii="Times New Roman" w:hAnsi="Times New Roman"/>
          <w:bCs/>
          <w:color w:val="000000"/>
        </w:rPr>
      </w:pPr>
    </w:p>
    <w:p w:rsidR="007858DD" w:rsidRPr="008E1AAF" w:rsidRDefault="007858DD" w:rsidP="008E1AAF">
      <w:pPr>
        <w:rPr>
          <w:rFonts w:ascii="Times New Roman" w:hAnsi="Times New Roman"/>
        </w:rPr>
      </w:pPr>
      <w:r w:rsidRPr="008E1AAF">
        <w:rPr>
          <w:rFonts w:ascii="Times New Roman" w:hAnsi="Times New Roman"/>
        </w:rPr>
        <w:t xml:space="preserve">Serve the client’s best interest </w:t>
      </w:r>
    </w:p>
    <w:p w:rsidR="007858DD" w:rsidRPr="008E1AAF" w:rsidRDefault="007858DD" w:rsidP="008E1AAF">
      <w:pPr>
        <w:rPr>
          <w:rFonts w:ascii="Times New Roman" w:hAnsi="Times New Roman"/>
        </w:rPr>
      </w:pPr>
      <w:r w:rsidRPr="008E1AAF">
        <w:rPr>
          <w:rFonts w:ascii="Times New Roman" w:hAnsi="Times New Roman"/>
        </w:rPr>
        <w:t>Act in utmost good faith</w:t>
      </w:r>
    </w:p>
    <w:p w:rsidR="007858DD" w:rsidRPr="008E1AAF" w:rsidRDefault="007858DD" w:rsidP="008E1AAF">
      <w:pPr>
        <w:rPr>
          <w:rFonts w:ascii="Times New Roman" w:hAnsi="Times New Roman"/>
        </w:rPr>
      </w:pPr>
      <w:r w:rsidRPr="008E1AAF">
        <w:rPr>
          <w:rFonts w:ascii="Times New Roman" w:hAnsi="Times New Roman"/>
        </w:rPr>
        <w:t xml:space="preserve">Act prudently -- with the care, skill and judgment of a professional </w:t>
      </w:r>
    </w:p>
    <w:p w:rsidR="007858DD" w:rsidRPr="008E1AAF" w:rsidRDefault="007858DD" w:rsidP="008E1AAF">
      <w:pPr>
        <w:rPr>
          <w:rFonts w:ascii="Times New Roman" w:hAnsi="Times New Roman"/>
        </w:rPr>
      </w:pPr>
      <w:r w:rsidRPr="008E1AAF">
        <w:rPr>
          <w:rFonts w:ascii="Times New Roman" w:hAnsi="Times New Roman"/>
        </w:rPr>
        <w:t xml:space="preserve">Avoid conflicts of interest </w:t>
      </w:r>
    </w:p>
    <w:p w:rsidR="007858DD" w:rsidRPr="008E1AAF" w:rsidRDefault="007858DD" w:rsidP="008E1AAF">
      <w:pPr>
        <w:rPr>
          <w:rFonts w:ascii="Times New Roman" w:hAnsi="Times New Roman"/>
        </w:rPr>
      </w:pPr>
      <w:r w:rsidRPr="008E1AAF">
        <w:rPr>
          <w:rFonts w:ascii="Times New Roman" w:hAnsi="Times New Roman"/>
        </w:rPr>
        <w:t xml:space="preserve">Disclose all material facts </w:t>
      </w:r>
    </w:p>
    <w:p w:rsidR="007858DD" w:rsidRPr="008E1AAF" w:rsidRDefault="007858DD" w:rsidP="008E1AAF">
      <w:pPr>
        <w:rPr>
          <w:rFonts w:ascii="Times New Roman" w:hAnsi="Times New Roman"/>
        </w:rPr>
      </w:pPr>
      <w:r w:rsidRPr="008E1AAF">
        <w:rPr>
          <w:rFonts w:ascii="Times New Roman" w:hAnsi="Times New Roman"/>
        </w:rPr>
        <w:t xml:space="preserve">Control investment expenses </w:t>
      </w:r>
    </w:p>
    <w:p w:rsidR="007858DD" w:rsidRPr="008E1AAF" w:rsidRDefault="007858DD" w:rsidP="008E1AAF">
      <w:pPr>
        <w:pBdr>
          <w:bottom w:val="single" w:sz="12" w:space="1" w:color="auto"/>
        </w:pBdr>
        <w:rPr>
          <w:rFonts w:ascii="Times New Roman" w:hAnsi="Times New Roman"/>
          <w:bCs/>
          <w:color w:val="000000"/>
        </w:rPr>
      </w:pPr>
    </w:p>
    <w:p w:rsidR="007858DD" w:rsidRDefault="007858DD" w:rsidP="008E1AAF">
      <w:pPr>
        <w:rPr>
          <w:rFonts w:ascii="Times New Roman" w:hAnsi="Times New Roman"/>
          <w:i/>
        </w:rPr>
      </w:pPr>
    </w:p>
    <w:p w:rsidR="007858DD" w:rsidRPr="002553D8" w:rsidRDefault="007858DD" w:rsidP="008E1AAF">
      <w:pPr>
        <w:rPr>
          <w:rFonts w:ascii="Times New Roman" w:hAnsi="Times New Roman"/>
          <w:i/>
        </w:rPr>
      </w:pPr>
      <w:r w:rsidRPr="002553D8">
        <w:rPr>
          <w:rFonts w:ascii="Times New Roman" w:hAnsi="Times New Roman"/>
          <w:i/>
        </w:rPr>
        <w:t xml:space="preserve">* Knut A Rostad is president of the Institute for the Fiduciary Standard. The Institute is a non profit that exists to advance the fiduciary standard through research, education and advocacy. For more information see </w:t>
      </w:r>
      <w:hyperlink r:id="rId7" w:history="1">
        <w:r w:rsidRPr="002553D8">
          <w:rPr>
            <w:rStyle w:val="Hyperlink"/>
            <w:rFonts w:ascii="Times New Roman" w:hAnsi="Times New Roman"/>
            <w:i/>
          </w:rPr>
          <w:t>www.thefiduciaryinstitute.org</w:t>
        </w:r>
      </w:hyperlink>
      <w:r w:rsidRPr="002553D8">
        <w:rPr>
          <w:rFonts w:ascii="Times New Roman" w:hAnsi="Times New Roman"/>
          <w:i/>
        </w:rPr>
        <w:t>.</w:t>
      </w:r>
    </w:p>
    <w:p w:rsidR="007858DD" w:rsidRPr="008E1AAF" w:rsidRDefault="007858DD" w:rsidP="008E1AAF">
      <w:pPr>
        <w:pStyle w:val="Default"/>
        <w:rPr>
          <w:b/>
        </w:rPr>
      </w:pPr>
      <w:r w:rsidRPr="008E1AAF">
        <w:rPr>
          <w:b/>
        </w:rPr>
        <w:t>Background</w:t>
      </w:r>
    </w:p>
    <w:p w:rsidR="007858DD" w:rsidRPr="008E1AAF" w:rsidRDefault="007858DD" w:rsidP="008E1AAF">
      <w:pPr>
        <w:rPr>
          <w:rFonts w:ascii="Times New Roman" w:hAnsi="Times New Roman"/>
        </w:rPr>
      </w:pPr>
    </w:p>
    <w:p w:rsidR="007858DD" w:rsidRPr="008E1AAF" w:rsidRDefault="007858DD" w:rsidP="008E1AAF">
      <w:pPr>
        <w:rPr>
          <w:rFonts w:ascii="Times New Roman" w:hAnsi="Times New Roman"/>
        </w:rPr>
      </w:pPr>
      <w:r w:rsidRPr="008E1AAF">
        <w:rPr>
          <w:rFonts w:ascii="Times New Roman" w:hAnsi="Times New Roman"/>
        </w:rPr>
        <w:t>Fiduciary principles have served a vital role in society for centuries. The principles are seen in the Code of Hammurabi (circa.1780 BC), and the writings of Aristotle (in the 4</w:t>
      </w:r>
      <w:r w:rsidRPr="008E1AAF">
        <w:rPr>
          <w:rFonts w:ascii="Times New Roman" w:hAnsi="Times New Roman"/>
          <w:vertAlign w:val="superscript"/>
        </w:rPr>
        <w:t>th</w:t>
      </w:r>
      <w:r w:rsidRPr="008E1AAF">
        <w:rPr>
          <w:rFonts w:ascii="Times New Roman" w:hAnsi="Times New Roman"/>
        </w:rPr>
        <w:t xml:space="preserve"> Century BC). They are central to English Common Law in equity. </w:t>
      </w:r>
      <w:r w:rsidRPr="008E1AAF">
        <w:rPr>
          <w:rFonts w:ascii="Times New Roman" w:hAnsi="Times New Roman"/>
          <w:b/>
          <w:sz w:val="16"/>
          <w:szCs w:val="16"/>
        </w:rPr>
        <w:t>3</w:t>
      </w:r>
      <w:r w:rsidRPr="008E1AAF">
        <w:rPr>
          <w:rFonts w:ascii="Times New Roman" w:hAnsi="Times New Roman"/>
        </w:rPr>
        <w:t xml:space="preserve"> Modern securities laws were enacted in the 1930s and in 1940. Investment advisors are regulated by the Investment Advisers Act of 1940 (Adviser’s Act). In 1963 the U. S. Supreme Court held in </w:t>
      </w:r>
      <w:r w:rsidRPr="008E1AAF">
        <w:rPr>
          <w:rFonts w:ascii="Times New Roman" w:hAnsi="Times New Roman"/>
          <w:i/>
        </w:rPr>
        <w:t>SEC V Capital Gains Research Bureau</w:t>
      </w:r>
      <w:r w:rsidRPr="008E1AAF">
        <w:rPr>
          <w:rFonts w:ascii="Times New Roman" w:hAnsi="Times New Roman"/>
        </w:rPr>
        <w:t>.</w:t>
      </w:r>
      <w:r w:rsidRPr="008E1AAF">
        <w:rPr>
          <w:rFonts w:ascii="Times New Roman" w:hAnsi="Times New Roman"/>
          <w:b/>
          <w:sz w:val="16"/>
          <w:szCs w:val="16"/>
        </w:rPr>
        <w:t xml:space="preserve"> 4</w:t>
      </w:r>
      <w:r w:rsidRPr="008E1AAF">
        <w:rPr>
          <w:rFonts w:ascii="Times New Roman" w:hAnsi="Times New Roman"/>
        </w:rPr>
        <w:t xml:space="preserve"> that investment advisors have fiduciary obligations to their clients.  </w:t>
      </w:r>
    </w:p>
    <w:p w:rsidR="007858DD" w:rsidRPr="008E1AAF" w:rsidRDefault="007858DD" w:rsidP="008E1AAF">
      <w:pPr>
        <w:ind w:left="840"/>
        <w:rPr>
          <w:rFonts w:ascii="Times New Roman" w:hAnsi="Times New Roman"/>
          <w:u w:val="single"/>
        </w:rPr>
      </w:pPr>
    </w:p>
    <w:p w:rsidR="007858DD" w:rsidRPr="008E1AAF" w:rsidRDefault="007858DD" w:rsidP="008E1AAF">
      <w:pPr>
        <w:rPr>
          <w:rFonts w:ascii="Times New Roman" w:hAnsi="Times New Roman"/>
        </w:rPr>
      </w:pPr>
      <w:r w:rsidRPr="008E1AAF">
        <w:rPr>
          <w:rFonts w:ascii="Times New Roman" w:hAnsi="Times New Roman"/>
          <w:u w:val="single"/>
        </w:rPr>
        <w:t>The Supreme Court and the need to avoid conflicts of interest.</w:t>
      </w:r>
      <w:r w:rsidRPr="008E1AAF">
        <w:rPr>
          <w:rFonts w:ascii="Times New Roman" w:hAnsi="Times New Roman"/>
        </w:rPr>
        <w:t xml:space="preserve"> The Supreme Court in </w:t>
      </w:r>
      <w:r w:rsidRPr="008E1AAF">
        <w:rPr>
          <w:rFonts w:ascii="Times New Roman" w:hAnsi="Times New Roman"/>
          <w:i/>
        </w:rPr>
        <w:t>Capital Gains</w:t>
      </w:r>
      <w:r w:rsidRPr="008E1AAF">
        <w:rPr>
          <w:rFonts w:ascii="Times New Roman" w:hAnsi="Times New Roman"/>
        </w:rPr>
        <w:t xml:space="preserve"> acknowledged the importance of avoiding conflicts of interest, based, in part, on the legislative history of the Advisers Act. The Court discussed the lack of fiduciary conduct by many intermediaries in the securities markets in the years preceding the 1929 stock market crash, and concluded it is essential that “the highest ethical standards prevail in every facet of the securities industry.” Also quoting extensively from an SEC report, the Court explained the importance of avoiding conflicts of interest to meeting these “highest ethical standards.” </w:t>
      </w:r>
    </w:p>
    <w:p w:rsidR="007858DD" w:rsidRPr="008E1AAF" w:rsidRDefault="007858DD" w:rsidP="008E1AAF">
      <w:pPr>
        <w:ind w:left="840"/>
        <w:rPr>
          <w:rFonts w:ascii="Times New Roman" w:hAnsi="Times New Roman"/>
        </w:rPr>
      </w:pPr>
    </w:p>
    <w:p w:rsidR="007858DD" w:rsidRPr="008E1AAF" w:rsidRDefault="007858DD" w:rsidP="008E1AAF">
      <w:pPr>
        <w:ind w:left="720"/>
        <w:rPr>
          <w:rFonts w:ascii="Times New Roman" w:hAnsi="Times New Roman"/>
          <w:i/>
        </w:rPr>
      </w:pPr>
      <w:r w:rsidRPr="008E1AAF">
        <w:rPr>
          <w:rFonts w:ascii="Times New Roman" w:hAnsi="Times New Roman"/>
          <w:i/>
        </w:rPr>
        <w:t xml:space="preserve">“The report reflects the attitude – shared by investment advisers and the Commission – that investment advisers could not “completely perform their basic function – furnishing to clients on a personal basis competent, unbiased, and continuous advice regarding the sound management of their investments – unless all conflicts of interest between the investment counsel and the client were removed. ” </w:t>
      </w:r>
      <w:r w:rsidRPr="008E1AAF">
        <w:rPr>
          <w:rFonts w:ascii="Times New Roman" w:hAnsi="Times New Roman"/>
          <w:b/>
          <w:sz w:val="16"/>
          <w:szCs w:val="16"/>
        </w:rPr>
        <w:t>5</w:t>
      </w:r>
    </w:p>
    <w:p w:rsidR="007858DD" w:rsidRPr="008E1AAF" w:rsidRDefault="007858DD" w:rsidP="008E1AAF">
      <w:pPr>
        <w:rPr>
          <w:rFonts w:ascii="Times New Roman" w:hAnsi="Times New Roman"/>
          <w:u w:val="single"/>
        </w:rPr>
      </w:pPr>
    </w:p>
    <w:p w:rsidR="007858DD" w:rsidRPr="008E1AAF" w:rsidRDefault="007858DD" w:rsidP="008E1AAF">
      <w:pPr>
        <w:rPr>
          <w:rFonts w:ascii="Times New Roman" w:hAnsi="Times New Roman"/>
          <w:sz w:val="16"/>
          <w:szCs w:val="16"/>
        </w:rPr>
      </w:pPr>
      <w:r w:rsidRPr="008E1AAF">
        <w:rPr>
          <w:rFonts w:ascii="Times New Roman" w:hAnsi="Times New Roman"/>
          <w:u w:val="single"/>
        </w:rPr>
        <w:t>The knowledge gap today.</w:t>
      </w:r>
      <w:r w:rsidRPr="008E1AAF">
        <w:rPr>
          <w:rFonts w:ascii="Times New Roman" w:hAnsi="Times New Roman"/>
        </w:rPr>
        <w:t xml:space="preserve"> The knowledge gap between experts and retail investors has been  continuously noted over time. In 1934, William O. Douglas referred to the knowledge gap when he noted that “those needing investment advice will receive small comfort” from the information provided in the registration statement.</w:t>
      </w:r>
      <w:r w:rsidRPr="008E1AAF">
        <w:rPr>
          <w:rFonts w:ascii="Times New Roman" w:hAnsi="Times New Roman"/>
          <w:b/>
          <w:sz w:val="16"/>
          <w:szCs w:val="16"/>
        </w:rPr>
        <w:t xml:space="preserve"> 6</w:t>
      </w:r>
      <w:r w:rsidRPr="008E1AAF">
        <w:rPr>
          <w:rFonts w:ascii="Times New Roman" w:hAnsi="Times New Roman"/>
          <w:sz w:val="16"/>
          <w:szCs w:val="16"/>
        </w:rPr>
        <w:t xml:space="preserve">  </w:t>
      </w:r>
      <w:r w:rsidRPr="008E1AAF">
        <w:rPr>
          <w:rFonts w:ascii="Times New Roman" w:hAnsi="Times New Roman"/>
        </w:rPr>
        <w:t xml:space="preserve">Years later, the 1995 Tully Report underscored the limitations of most investors, stating it is a “rare client who truly understands the risks and market behaviors of his or her investments.” </w:t>
      </w:r>
      <w:r w:rsidRPr="008E1AAF">
        <w:rPr>
          <w:rFonts w:ascii="Times New Roman" w:hAnsi="Times New Roman"/>
          <w:b/>
          <w:sz w:val="16"/>
          <w:szCs w:val="16"/>
        </w:rPr>
        <w:t xml:space="preserve">7  </w:t>
      </w:r>
      <w:r w:rsidRPr="008E1AAF">
        <w:rPr>
          <w:rFonts w:ascii="Times New Roman" w:hAnsi="Times New Roman"/>
          <w:sz w:val="16"/>
          <w:szCs w:val="16"/>
        </w:rPr>
        <w:t xml:space="preserve"> </w:t>
      </w:r>
      <w:r w:rsidRPr="008E1AAF">
        <w:rPr>
          <w:rFonts w:ascii="Times New Roman" w:hAnsi="Times New Roman"/>
        </w:rPr>
        <w:t>More recently,</w:t>
      </w:r>
      <w:r w:rsidRPr="008E1AAF">
        <w:rPr>
          <w:rFonts w:ascii="Times New Roman" w:hAnsi="Times New Roman"/>
          <w:sz w:val="16"/>
          <w:szCs w:val="16"/>
        </w:rPr>
        <w:t xml:space="preserve"> </w:t>
      </w:r>
      <w:r w:rsidRPr="008E1AAF">
        <w:rPr>
          <w:rFonts w:ascii="Times New Roman" w:hAnsi="Times New Roman"/>
        </w:rPr>
        <w:t>independent research suggests many investors fundamentally misunderstand the very basics of their relationships with their advisor or broker regarding costs and services. (Attachment A) In the August, 2012 report, “Study Regarding Financial Literacy Among Investors,” the SEC concludes, in part, simply, “</w:t>
      </w:r>
      <w:smartTag w:uri="urn:schemas-microsoft-com:office:smarttags" w:element="country-region">
        <w:smartTag w:uri="urn:schemas-microsoft-com:office:smarttags" w:element="place">
          <w:r w:rsidRPr="008E1AAF">
            <w:rPr>
              <w:rFonts w:ascii="Times New Roman" w:hAnsi="Times New Roman"/>
            </w:rPr>
            <w:t>U.S.</w:t>
          </w:r>
        </w:smartTag>
      </w:smartTag>
      <w:r w:rsidRPr="008E1AAF">
        <w:rPr>
          <w:rFonts w:ascii="Times New Roman" w:hAnsi="Times New Roman"/>
        </w:rPr>
        <w:t xml:space="preserve"> retail investors lack basic financial literacy.”</w:t>
      </w:r>
      <w:r w:rsidRPr="008E1AAF">
        <w:rPr>
          <w:rFonts w:ascii="Times New Roman" w:hAnsi="Times New Roman"/>
          <w:b/>
          <w:sz w:val="16"/>
          <w:szCs w:val="16"/>
        </w:rPr>
        <w:t xml:space="preserve"> 8</w:t>
      </w:r>
      <w:r w:rsidRPr="008E1AAF">
        <w:rPr>
          <w:rFonts w:ascii="Times New Roman" w:hAnsi="Times New Roman"/>
          <w:sz w:val="16"/>
          <w:szCs w:val="16"/>
        </w:rPr>
        <w:t xml:space="preserve">  </w:t>
      </w:r>
      <w:r w:rsidRPr="008E1AAF">
        <w:rPr>
          <w:rFonts w:ascii="Times New Roman" w:hAnsi="Times New Roman"/>
        </w:rPr>
        <w:t>This research clearly affirms the knowledge gap stubbornly persists. The rationale for a stringent fiduciary standard today continues.</w:t>
      </w:r>
    </w:p>
    <w:p w:rsidR="007858DD" w:rsidRPr="008E1AAF" w:rsidRDefault="007858DD" w:rsidP="008E1AAF">
      <w:pPr>
        <w:rPr>
          <w:rFonts w:ascii="Times New Roman" w:hAnsi="Times New Roman"/>
          <w:b/>
          <w:bCs/>
          <w:color w:val="000000"/>
        </w:rPr>
      </w:pPr>
    </w:p>
    <w:p w:rsidR="007858DD" w:rsidRPr="008E1AAF" w:rsidRDefault="007858DD" w:rsidP="008E1AAF">
      <w:pPr>
        <w:rPr>
          <w:rFonts w:ascii="Times New Roman" w:hAnsi="Times New Roman"/>
          <w:b/>
          <w:bCs/>
          <w:color w:val="000000"/>
        </w:rPr>
      </w:pPr>
    </w:p>
    <w:p w:rsidR="007858DD" w:rsidRPr="008E1AAF" w:rsidRDefault="007858DD" w:rsidP="008E1AAF">
      <w:pPr>
        <w:rPr>
          <w:rFonts w:ascii="Times New Roman" w:hAnsi="Times New Roman"/>
          <w:b/>
          <w:bCs/>
          <w:color w:val="000000"/>
        </w:rPr>
      </w:pPr>
    </w:p>
    <w:p w:rsidR="007858DD" w:rsidRPr="008E1AAF" w:rsidRDefault="007858DD" w:rsidP="008E1AAF">
      <w:pPr>
        <w:rPr>
          <w:rFonts w:ascii="Times New Roman" w:hAnsi="Times New Roman"/>
          <w:b/>
          <w:bCs/>
          <w:color w:val="000000"/>
        </w:rPr>
      </w:pPr>
    </w:p>
    <w:p w:rsidR="007858DD" w:rsidRPr="008E1AAF" w:rsidRDefault="007858DD" w:rsidP="008E1AAF">
      <w:pPr>
        <w:rPr>
          <w:rFonts w:ascii="Times New Roman" w:hAnsi="Times New Roman"/>
          <w:b/>
          <w:bCs/>
          <w:color w:val="000000"/>
        </w:rPr>
      </w:pPr>
    </w:p>
    <w:p w:rsidR="007858DD" w:rsidRPr="008E1AAF" w:rsidRDefault="007858DD" w:rsidP="008E1AAF">
      <w:pPr>
        <w:rPr>
          <w:rFonts w:ascii="Times New Roman" w:hAnsi="Times New Roman"/>
          <w:b/>
          <w:bCs/>
          <w:color w:val="000000"/>
        </w:rPr>
      </w:pPr>
    </w:p>
    <w:p w:rsidR="007858DD" w:rsidRPr="008E1AAF" w:rsidRDefault="007858DD" w:rsidP="008E1AAF">
      <w:pPr>
        <w:rPr>
          <w:rFonts w:ascii="Times New Roman" w:hAnsi="Times New Roman"/>
          <w:b/>
          <w:bCs/>
          <w:color w:val="000000"/>
        </w:rPr>
      </w:pPr>
    </w:p>
    <w:p w:rsidR="007858DD" w:rsidRPr="008E1AAF" w:rsidRDefault="007858DD" w:rsidP="008E1AAF">
      <w:pPr>
        <w:rPr>
          <w:rFonts w:ascii="Times New Roman" w:hAnsi="Times New Roman"/>
          <w:b/>
          <w:bCs/>
          <w:color w:val="000000"/>
        </w:rPr>
      </w:pPr>
    </w:p>
    <w:p w:rsidR="007858DD" w:rsidRPr="008E1AAF" w:rsidRDefault="007858DD" w:rsidP="008E1AAF">
      <w:pPr>
        <w:rPr>
          <w:rFonts w:ascii="Times New Roman" w:hAnsi="Times New Roman"/>
          <w:b/>
          <w:bCs/>
          <w:color w:val="000000"/>
        </w:rPr>
      </w:pPr>
    </w:p>
    <w:p w:rsidR="007858DD" w:rsidRPr="008E1AAF" w:rsidRDefault="007858DD" w:rsidP="008E1AAF">
      <w:pPr>
        <w:rPr>
          <w:rFonts w:ascii="Times New Roman" w:hAnsi="Times New Roman"/>
          <w:b/>
          <w:bCs/>
          <w:color w:val="000000"/>
        </w:rPr>
      </w:pPr>
    </w:p>
    <w:p w:rsidR="007858DD" w:rsidRPr="008E1AAF" w:rsidRDefault="007858DD" w:rsidP="008E1AAF">
      <w:pPr>
        <w:rPr>
          <w:rFonts w:ascii="Times New Roman" w:hAnsi="Times New Roman"/>
          <w:b/>
          <w:bCs/>
          <w:color w:val="000000"/>
        </w:rPr>
      </w:pPr>
    </w:p>
    <w:p w:rsidR="007858DD" w:rsidRPr="008E1AAF" w:rsidRDefault="007858DD" w:rsidP="008E1AAF">
      <w:pPr>
        <w:rPr>
          <w:rFonts w:ascii="Times New Roman" w:hAnsi="Times New Roman"/>
          <w:color w:val="000000"/>
        </w:rPr>
      </w:pPr>
      <w:r w:rsidRPr="008E1AAF">
        <w:rPr>
          <w:rFonts w:ascii="Times New Roman" w:hAnsi="Times New Roman"/>
          <w:b/>
          <w:bCs/>
          <w:color w:val="000000"/>
        </w:rPr>
        <w:t>One: Serve in the Client's Best Interest</w:t>
      </w: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color w:val="000000"/>
        </w:rPr>
      </w:pPr>
      <w:r w:rsidRPr="008E1AAF">
        <w:rPr>
          <w:rFonts w:ascii="Times New Roman" w:hAnsi="Times New Roman"/>
          <w:color w:val="000000"/>
        </w:rPr>
        <w:t xml:space="preserve">Loyalty requires that fiduciaries put the best interests of clients first. Doing so means clients interests are put ahead of the advisor’s interests, the interests of their firm, and the interests of all others at all times. </w:t>
      </w:r>
    </w:p>
    <w:p w:rsidR="007858DD" w:rsidRPr="008E1AAF" w:rsidRDefault="007858DD" w:rsidP="008E1AAF">
      <w:pPr>
        <w:rPr>
          <w:rFonts w:ascii="Times New Roman" w:hAnsi="Times New Roman"/>
          <w:color w:val="000000"/>
        </w:rPr>
      </w:pPr>
    </w:p>
    <w:p w:rsidR="007858DD" w:rsidRPr="008E1AAF" w:rsidRDefault="007858DD" w:rsidP="008E1AAF">
      <w:pPr>
        <w:ind w:left="720" w:hanging="720"/>
        <w:rPr>
          <w:rFonts w:ascii="Times New Roman" w:hAnsi="Times New Roman"/>
          <w:bCs/>
          <w:color w:val="000000"/>
        </w:rPr>
      </w:pPr>
      <w:r w:rsidRPr="008E1AAF">
        <w:rPr>
          <w:rFonts w:ascii="Times New Roman" w:hAnsi="Times New Roman"/>
          <w:bCs/>
          <w:color w:val="000000"/>
        </w:rPr>
        <w:t xml:space="preserve">While loyalty is essential to rendering </w:t>
      </w:r>
      <w:r w:rsidRPr="008E1AAF">
        <w:rPr>
          <w:rStyle w:val="Emphasis"/>
          <w:rFonts w:ascii="Times New Roman" w:hAnsi="Times New Roman"/>
          <w:bCs/>
        </w:rPr>
        <w:t xml:space="preserve">advice, </w:t>
      </w:r>
      <w:r w:rsidRPr="008E1AAF">
        <w:rPr>
          <w:rFonts w:ascii="Times New Roman" w:hAnsi="Times New Roman"/>
          <w:bCs/>
          <w:color w:val="000000"/>
        </w:rPr>
        <w:t xml:space="preserve">it is not required of those who distribute </w:t>
      </w:r>
    </w:p>
    <w:p w:rsidR="007858DD" w:rsidRPr="008E1AAF" w:rsidRDefault="007858DD" w:rsidP="008E1AAF">
      <w:pPr>
        <w:ind w:left="720" w:hanging="720"/>
        <w:rPr>
          <w:rFonts w:ascii="Times New Roman" w:hAnsi="Times New Roman"/>
          <w:bCs/>
          <w:color w:val="000000"/>
        </w:rPr>
      </w:pPr>
      <w:r w:rsidRPr="008E1AAF">
        <w:rPr>
          <w:rFonts w:ascii="Times New Roman" w:hAnsi="Times New Roman"/>
          <w:bCs/>
          <w:color w:val="000000"/>
        </w:rPr>
        <w:t>products and provide information and opinions about their products. Here is the key difference</w:t>
      </w:r>
      <w:r w:rsidRPr="008E1AAF">
        <w:rPr>
          <w:rStyle w:val="Emphasis"/>
          <w:rFonts w:ascii="Times New Roman" w:hAnsi="Times New Roman"/>
          <w:bCs/>
          <w:i w:val="0"/>
        </w:rPr>
        <w:t xml:space="preserve">: </w:t>
      </w:r>
      <w:r w:rsidRPr="008E1AAF">
        <w:rPr>
          <w:rFonts w:ascii="Times New Roman" w:hAnsi="Times New Roman"/>
          <w:bCs/>
          <w:color w:val="000000"/>
        </w:rPr>
        <w:t xml:space="preserve">a </w:t>
      </w:r>
    </w:p>
    <w:p w:rsidR="007858DD" w:rsidRPr="008E1AAF" w:rsidRDefault="007858DD" w:rsidP="008E1AAF">
      <w:pPr>
        <w:ind w:left="720" w:hanging="720"/>
        <w:rPr>
          <w:rFonts w:ascii="Times New Roman" w:hAnsi="Times New Roman"/>
          <w:bCs/>
          <w:color w:val="000000"/>
        </w:rPr>
      </w:pPr>
      <w:r w:rsidRPr="008E1AAF">
        <w:rPr>
          <w:rFonts w:ascii="Times New Roman" w:hAnsi="Times New Roman"/>
          <w:bCs/>
          <w:color w:val="000000"/>
        </w:rPr>
        <w:t xml:space="preserve">fiduciary represents and advises clients; a sales professional represents manufacturers and sells </w:t>
      </w:r>
    </w:p>
    <w:p w:rsidR="007858DD" w:rsidRPr="008E1AAF" w:rsidRDefault="007858DD" w:rsidP="008E1AAF">
      <w:pPr>
        <w:ind w:left="720" w:hanging="720"/>
        <w:rPr>
          <w:rFonts w:ascii="Times New Roman" w:hAnsi="Times New Roman"/>
          <w:color w:val="000000"/>
        </w:rPr>
      </w:pPr>
      <w:r w:rsidRPr="008E1AAF">
        <w:rPr>
          <w:rFonts w:ascii="Times New Roman" w:hAnsi="Times New Roman"/>
          <w:bCs/>
          <w:color w:val="000000"/>
        </w:rPr>
        <w:t xml:space="preserve">products. </w:t>
      </w:r>
      <w:r w:rsidRPr="008E1AAF">
        <w:rPr>
          <w:rFonts w:ascii="Times New Roman" w:hAnsi="Times New Roman"/>
          <w:color w:val="000000"/>
        </w:rPr>
        <w:t xml:space="preserve">A product salesperson provides information and opinions about products or services </w:t>
      </w:r>
    </w:p>
    <w:p w:rsidR="007858DD" w:rsidRPr="008E1AAF" w:rsidRDefault="007858DD" w:rsidP="008E1AAF">
      <w:pPr>
        <w:ind w:left="720" w:hanging="720"/>
        <w:rPr>
          <w:rFonts w:ascii="Times New Roman" w:hAnsi="Times New Roman"/>
          <w:color w:val="000000"/>
        </w:rPr>
      </w:pPr>
      <w:r w:rsidRPr="008E1AAF">
        <w:rPr>
          <w:rFonts w:ascii="Times New Roman" w:hAnsi="Times New Roman"/>
          <w:color w:val="000000"/>
        </w:rPr>
        <w:t xml:space="preserve">and generally operates with divided loyalties – at best – between the product manufacturer and </w:t>
      </w:r>
    </w:p>
    <w:p w:rsidR="007858DD" w:rsidRPr="008E1AAF" w:rsidRDefault="007858DD" w:rsidP="008E1AAF">
      <w:pPr>
        <w:ind w:left="720" w:hanging="720"/>
        <w:rPr>
          <w:rFonts w:ascii="Times New Roman" w:hAnsi="Times New Roman"/>
          <w:color w:val="000000"/>
        </w:rPr>
      </w:pPr>
      <w:r w:rsidRPr="008E1AAF">
        <w:rPr>
          <w:rFonts w:ascii="Times New Roman" w:hAnsi="Times New Roman"/>
          <w:color w:val="000000"/>
        </w:rPr>
        <w:t xml:space="preserve">the client. Fiduciary advisors can not do so; fiduciaries must always act with undivided loyalty. </w:t>
      </w:r>
    </w:p>
    <w:p w:rsidR="007858DD" w:rsidRPr="008E1AAF" w:rsidRDefault="007858DD" w:rsidP="008E1AAF">
      <w:pPr>
        <w:ind w:left="720" w:hanging="720"/>
        <w:rPr>
          <w:rFonts w:ascii="Times New Roman" w:hAnsi="Times New Roman"/>
          <w:color w:val="000000"/>
        </w:rPr>
      </w:pPr>
      <w:r w:rsidRPr="008E1AAF">
        <w:rPr>
          <w:rFonts w:ascii="Times New Roman" w:hAnsi="Times New Roman"/>
          <w:color w:val="000000"/>
        </w:rPr>
        <w:t xml:space="preserve">For an advisor to enter into a relationship with a client when an unavoidable and material conflict </w:t>
      </w:r>
    </w:p>
    <w:p w:rsidR="007858DD" w:rsidRPr="008E1AAF" w:rsidRDefault="007858DD" w:rsidP="008E1AAF">
      <w:pPr>
        <w:ind w:left="720" w:hanging="720"/>
        <w:rPr>
          <w:rFonts w:ascii="Times New Roman" w:hAnsi="Times New Roman"/>
          <w:color w:val="000000"/>
        </w:rPr>
      </w:pPr>
      <w:r w:rsidRPr="008E1AAF">
        <w:rPr>
          <w:rFonts w:ascii="Times New Roman" w:hAnsi="Times New Roman"/>
          <w:color w:val="000000"/>
        </w:rPr>
        <w:t xml:space="preserve">is present sharply increases the burden on the advisor to be scrupulous in ensuring the client’s </w:t>
      </w:r>
    </w:p>
    <w:p w:rsidR="007858DD" w:rsidRPr="008E1AAF" w:rsidRDefault="007858DD" w:rsidP="008E1AAF">
      <w:pPr>
        <w:ind w:left="720" w:hanging="720"/>
        <w:rPr>
          <w:rFonts w:ascii="Times New Roman" w:hAnsi="Times New Roman"/>
          <w:bCs/>
          <w:color w:val="000000"/>
        </w:rPr>
      </w:pPr>
      <w:r w:rsidRPr="008E1AAF">
        <w:rPr>
          <w:rFonts w:ascii="Times New Roman" w:hAnsi="Times New Roman"/>
          <w:color w:val="000000"/>
        </w:rPr>
        <w:t xml:space="preserve">interests remain first and foremost. </w:t>
      </w:r>
    </w:p>
    <w:p w:rsidR="007858DD" w:rsidRPr="008E1AAF" w:rsidRDefault="007858DD" w:rsidP="008E1AAF">
      <w:pPr>
        <w:rPr>
          <w:rFonts w:ascii="Times New Roman" w:hAnsi="Times New Roman"/>
          <w:color w:val="000000"/>
        </w:rPr>
      </w:pPr>
      <w:r w:rsidRPr="008E1AAF">
        <w:rPr>
          <w:rFonts w:ascii="Times New Roman" w:hAnsi="Times New Roman"/>
          <w:color w:val="000000"/>
        </w:rPr>
        <w:t> </w:t>
      </w:r>
    </w:p>
    <w:p w:rsidR="007858DD" w:rsidRPr="008E1AAF" w:rsidRDefault="007858DD" w:rsidP="008E1AAF">
      <w:pPr>
        <w:rPr>
          <w:rFonts w:ascii="Times New Roman" w:hAnsi="Times New Roman"/>
          <w:color w:val="000000"/>
        </w:rPr>
      </w:pPr>
      <w:r w:rsidRPr="008E1AAF">
        <w:rPr>
          <w:rStyle w:val="Emphasis"/>
          <w:rFonts w:ascii="Times New Roman" w:hAnsi="Times New Roman"/>
        </w:rPr>
        <w:t>In the client’s</w:t>
      </w:r>
      <w:r w:rsidRPr="008E1AAF">
        <w:rPr>
          <w:rStyle w:val="Emphasis"/>
          <w:rFonts w:ascii="Times New Roman" w:hAnsi="Times New Roman"/>
          <w:i w:val="0"/>
        </w:rPr>
        <w:t xml:space="preserve"> </w:t>
      </w:r>
      <w:r w:rsidRPr="008E1AAF">
        <w:rPr>
          <w:rStyle w:val="Emphasis"/>
          <w:rFonts w:ascii="Times New Roman" w:hAnsi="Times New Roman"/>
        </w:rPr>
        <w:t xml:space="preserve">best interest </w:t>
      </w:r>
      <w:r w:rsidRPr="008E1AAF">
        <w:rPr>
          <w:rStyle w:val="Emphasis"/>
          <w:rFonts w:ascii="Times New Roman" w:hAnsi="Times New Roman"/>
          <w:i w:val="0"/>
        </w:rPr>
        <w:t xml:space="preserve">describes how advisors must act. </w:t>
      </w:r>
      <w:r w:rsidRPr="008E1AAF">
        <w:rPr>
          <w:rStyle w:val="Emphasis"/>
          <w:rFonts w:ascii="Times New Roman" w:hAnsi="Times New Roman"/>
        </w:rPr>
        <w:t>Best</w:t>
      </w:r>
      <w:r w:rsidRPr="008E1AAF">
        <w:rPr>
          <w:rFonts w:ascii="Times New Roman" w:hAnsi="Times New Roman"/>
          <w:color w:val="000000"/>
        </w:rPr>
        <w:t xml:space="preserve"> means, according to the American Heritage Dictionary, "</w:t>
      </w:r>
      <w:r w:rsidRPr="008E1AAF">
        <w:rPr>
          <w:rFonts w:ascii="Times New Roman" w:hAnsi="Times New Roman"/>
        </w:rPr>
        <w:t xml:space="preserve">Surpassing all others in excellence, achievement, or quality; most excellent: </w:t>
      </w:r>
      <w:r w:rsidRPr="008E1AAF">
        <w:rPr>
          <w:rFonts w:ascii="Times New Roman" w:hAnsi="Times New Roman"/>
          <w:i/>
          <w:iCs/>
        </w:rPr>
        <w:t>the best performer…</w:t>
      </w:r>
      <w:r w:rsidRPr="008E1AAF">
        <w:rPr>
          <w:rStyle w:val="ssens"/>
          <w:rFonts w:ascii="Times New Roman" w:hAnsi="Times New Roman"/>
        </w:rPr>
        <w:t xml:space="preserve"> ”</w:t>
      </w:r>
      <w:r w:rsidRPr="008E1AAF">
        <w:rPr>
          <w:rFonts w:ascii="Times New Roman" w:hAnsi="Times New Roman"/>
          <w:color w:val="000000"/>
        </w:rPr>
        <w:t xml:space="preserve"> The advisor must put the client's best interests first and never behind, below or second to the interests of the advisor, his firm or any third parties. A recommendation in the client’s best interest means that no materially superior option is available. As one legal scholar explains, the advisor must adopt the goals of the client as his own goals. </w:t>
      </w:r>
      <w:r w:rsidRPr="008E1AAF">
        <w:rPr>
          <w:rFonts w:ascii="Times New Roman" w:hAnsi="Times New Roman"/>
          <w:b/>
          <w:color w:val="000000"/>
          <w:sz w:val="16"/>
          <w:szCs w:val="16"/>
        </w:rPr>
        <w:t xml:space="preserve">9 </w:t>
      </w:r>
    </w:p>
    <w:p w:rsidR="007858DD" w:rsidRPr="008E1AAF" w:rsidRDefault="007858DD" w:rsidP="008E1AAF">
      <w:pPr>
        <w:rPr>
          <w:rFonts w:ascii="Times New Roman" w:hAnsi="Times New Roman"/>
          <w:color w:val="000000"/>
        </w:rPr>
      </w:pPr>
      <w:r w:rsidRPr="008E1AAF">
        <w:rPr>
          <w:rFonts w:ascii="Times New Roman" w:hAnsi="Times New Roman"/>
          <w:color w:val="000000"/>
        </w:rPr>
        <w:t> </w:t>
      </w:r>
    </w:p>
    <w:p w:rsidR="007858DD" w:rsidRPr="008E1AAF" w:rsidRDefault="007858DD" w:rsidP="008E1AAF">
      <w:pPr>
        <w:rPr>
          <w:rFonts w:ascii="Times New Roman" w:hAnsi="Times New Roman"/>
          <w:i/>
          <w:color w:val="000000"/>
        </w:rPr>
      </w:pPr>
      <w:r w:rsidRPr="008E1AAF">
        <w:rPr>
          <w:rFonts w:ascii="Times New Roman" w:hAnsi="Times New Roman"/>
          <w:color w:val="000000"/>
        </w:rPr>
        <w:t xml:space="preserve">Thus, advisors are not allowed to self-deal, or profit from a transaction in a way that undermines the client's goals or is not also entirely fair to the client. Advisors must not favor one client over another. As the SEC articulates clearly in </w:t>
      </w:r>
      <w:r w:rsidRPr="008E1AAF">
        <w:rPr>
          <w:rFonts w:ascii="Times New Roman" w:hAnsi="Times New Roman"/>
          <w:i/>
          <w:color w:val="000000"/>
        </w:rPr>
        <w:t>Hughes:</w:t>
      </w:r>
    </w:p>
    <w:p w:rsidR="007858DD" w:rsidRPr="008E1AAF" w:rsidRDefault="007858DD" w:rsidP="008E1AAF">
      <w:pPr>
        <w:rPr>
          <w:rFonts w:ascii="Times New Roman" w:hAnsi="Times New Roman"/>
          <w:i/>
          <w:color w:val="000000"/>
        </w:rPr>
      </w:pPr>
    </w:p>
    <w:p w:rsidR="007858DD" w:rsidRPr="008E1AAF" w:rsidRDefault="007858DD" w:rsidP="008E1AAF">
      <w:pPr>
        <w:rPr>
          <w:rFonts w:ascii="Times New Roman" w:hAnsi="Times New Roman"/>
          <w:i/>
          <w:color w:val="000000"/>
          <w:u w:val="single"/>
        </w:rPr>
      </w:pPr>
      <w:r w:rsidRPr="008E1AAF">
        <w:rPr>
          <w:rFonts w:ascii="Times New Roman" w:hAnsi="Times New Roman"/>
          <w:color w:val="000000"/>
        </w:rPr>
        <w:tab/>
      </w:r>
      <w:r w:rsidRPr="008E1AAF">
        <w:rPr>
          <w:rFonts w:ascii="Times New Roman" w:hAnsi="Times New Roman"/>
          <w:i/>
          <w:color w:val="000000"/>
          <w:u w:val="single"/>
        </w:rPr>
        <w:t xml:space="preserve">The very function of furnishing investment counsel …. cultivates a confidential </w:t>
      </w:r>
    </w:p>
    <w:p w:rsidR="007858DD" w:rsidRPr="008E1AAF" w:rsidRDefault="007858DD" w:rsidP="008E1AAF">
      <w:pPr>
        <w:rPr>
          <w:rFonts w:ascii="Times New Roman" w:hAnsi="Times New Roman"/>
          <w:i/>
          <w:color w:val="000000"/>
          <w:u w:val="single"/>
        </w:rPr>
      </w:pPr>
      <w:r w:rsidRPr="008E1AAF">
        <w:rPr>
          <w:rFonts w:ascii="Times New Roman" w:hAnsi="Times New Roman"/>
          <w:i/>
          <w:color w:val="000000"/>
        </w:rPr>
        <w:tab/>
      </w:r>
      <w:r w:rsidRPr="008E1AAF">
        <w:rPr>
          <w:rFonts w:ascii="Times New Roman" w:hAnsi="Times New Roman"/>
          <w:i/>
          <w:color w:val="000000"/>
          <w:u w:val="single"/>
        </w:rPr>
        <w:t>and intimate relationship.</w:t>
      </w:r>
    </w:p>
    <w:p w:rsidR="007858DD" w:rsidRPr="008E1AAF" w:rsidRDefault="007858DD" w:rsidP="008E1AAF">
      <w:pPr>
        <w:rPr>
          <w:rFonts w:ascii="Times New Roman" w:hAnsi="Times New Roman"/>
          <w:color w:val="000000"/>
        </w:rPr>
      </w:pPr>
      <w:r w:rsidRPr="008E1AAF">
        <w:rPr>
          <w:rFonts w:ascii="Times New Roman" w:hAnsi="Times New Roman"/>
          <w:color w:val="000000"/>
        </w:rPr>
        <w:t xml:space="preserve"> </w:t>
      </w:r>
    </w:p>
    <w:p w:rsidR="007858DD" w:rsidRPr="008E1AAF" w:rsidRDefault="007858DD" w:rsidP="008E1AAF">
      <w:pPr>
        <w:pStyle w:val="Default"/>
        <w:ind w:left="720"/>
        <w:rPr>
          <w:i/>
        </w:rPr>
      </w:pPr>
      <w:r w:rsidRPr="008E1AAF">
        <w:rPr>
          <w:i/>
        </w:rPr>
        <w:t>… registrant's clients have implicit trust and confidence in her. They rely on her for investment advice and consistently follow her recommendations as to the purchase and sale of securities. Registrant herself testified that her clients follow her advice “in almost every instance.” This reliance and repose of trust and confidence, of course, stem from the relationship created by registrant's position as an investment adviser. The very function of furnishing investment counsel on a fee basis -- learning the personal and intimate details of the financial affairs of clients and making recommendations as to purchases and sales of securities -- cultivates a confidential and intimate relationship and imposes a duty upon the registrant to act in the best interests of her clients and to make only such recommendations as will best serve such interests. In brief, it is her duty to act in behalf of her clients. Under these circumstances, as registrant concedes, she is a fiduciary; she has asked for and received the highest degree of trust and confidence on the representation that she will act in the best interests of her clients.  (p. 6)</w:t>
      </w: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color w:val="000000"/>
        </w:rPr>
      </w:pPr>
      <w:r w:rsidRPr="008E1AAF">
        <w:rPr>
          <w:rFonts w:ascii="Times New Roman" w:hAnsi="Times New Roman"/>
          <w:color w:val="000000"/>
        </w:rPr>
        <w:t xml:space="preserve">The language used to describe both the basis for and the implications of Hughes’ fiduciary duty is vividly clear. Fiduciary care is the basis on which Hughes gained a client’s trust and confidence and learned the intimate details of a clients financial affairs. Such trust and confidence in </w:t>
      </w:r>
      <w:r w:rsidRPr="0083417D">
        <w:rPr>
          <w:rFonts w:ascii="Times New Roman" w:hAnsi="Times New Roman"/>
          <w:color w:val="000000"/>
        </w:rPr>
        <w:t>Hughes</w:t>
      </w:r>
      <w:r w:rsidRPr="008E1AAF">
        <w:rPr>
          <w:rFonts w:ascii="Times New Roman" w:hAnsi="Times New Roman"/>
          <w:color w:val="000000"/>
        </w:rPr>
        <w:t xml:space="preserve"> inevitably became a </w:t>
      </w:r>
      <w:r w:rsidRPr="008E1AAF">
        <w:rPr>
          <w:rFonts w:ascii="Times New Roman" w:hAnsi="Times New Roman"/>
          <w:i/>
          <w:color w:val="000000"/>
        </w:rPr>
        <w:t xml:space="preserve">reliance </w:t>
      </w:r>
      <w:r w:rsidRPr="008E1AAF">
        <w:rPr>
          <w:rFonts w:ascii="Times New Roman" w:hAnsi="Times New Roman"/>
          <w:color w:val="000000"/>
        </w:rPr>
        <w:t>on Hughes</w:t>
      </w:r>
      <w:r w:rsidRPr="008E1AAF">
        <w:rPr>
          <w:rFonts w:ascii="Times New Roman" w:hAnsi="Times New Roman"/>
          <w:i/>
          <w:color w:val="000000"/>
        </w:rPr>
        <w:t xml:space="preserve">. </w:t>
      </w:r>
      <w:r w:rsidRPr="008E1AAF">
        <w:rPr>
          <w:rFonts w:ascii="Times New Roman" w:hAnsi="Times New Roman"/>
          <w:color w:val="000000"/>
        </w:rPr>
        <w:t>The client’s reliance is based on trust and confidence that Hughes will only act in the client’s best interest. This strong rel</w:t>
      </w:r>
      <w:r>
        <w:rPr>
          <w:rFonts w:ascii="Times New Roman" w:hAnsi="Times New Roman"/>
          <w:color w:val="000000"/>
        </w:rPr>
        <w:t>iance further underscores her</w:t>
      </w:r>
      <w:r w:rsidRPr="008E1AAF">
        <w:rPr>
          <w:rFonts w:ascii="Times New Roman" w:hAnsi="Times New Roman"/>
          <w:color w:val="000000"/>
        </w:rPr>
        <w:t xml:space="preserve"> solemn duty to do so.  </w:t>
      </w:r>
      <w:r w:rsidRPr="008E1AAF">
        <w:rPr>
          <w:rFonts w:ascii="Times New Roman" w:hAnsi="Times New Roman"/>
          <w:i/>
          <w:color w:val="000000"/>
        </w:rPr>
        <w:t xml:space="preserve"> </w:t>
      </w:r>
      <w:r w:rsidRPr="008E1AAF">
        <w:rPr>
          <w:rFonts w:ascii="Times New Roman" w:hAnsi="Times New Roman"/>
          <w:color w:val="000000"/>
        </w:rPr>
        <w:t xml:space="preserve">   </w:t>
      </w:r>
    </w:p>
    <w:p w:rsidR="007858DD" w:rsidRPr="008E1AAF" w:rsidRDefault="007858DD" w:rsidP="008E1AAF">
      <w:pPr>
        <w:rPr>
          <w:rFonts w:ascii="Times New Roman" w:hAnsi="Times New Roman"/>
          <w:b/>
          <w:color w:val="000000"/>
        </w:rPr>
      </w:pPr>
    </w:p>
    <w:p w:rsidR="007858DD" w:rsidRPr="008E1AAF" w:rsidRDefault="007858DD" w:rsidP="008E1AAF">
      <w:pPr>
        <w:rPr>
          <w:rFonts w:ascii="Times New Roman" w:hAnsi="Times New Roman"/>
          <w:b/>
          <w:color w:val="000000"/>
        </w:rPr>
      </w:pPr>
    </w:p>
    <w:p w:rsidR="007858DD" w:rsidRPr="008E1AAF" w:rsidRDefault="007858DD" w:rsidP="008E1AAF">
      <w:pPr>
        <w:rPr>
          <w:rFonts w:ascii="Times New Roman" w:hAnsi="Times New Roman"/>
          <w:color w:val="000000"/>
        </w:rPr>
      </w:pPr>
      <w:r w:rsidRPr="008E1AAF">
        <w:rPr>
          <w:rFonts w:ascii="Times New Roman" w:hAnsi="Times New Roman"/>
          <w:b/>
          <w:color w:val="000000"/>
        </w:rPr>
        <w:t>Two:</w:t>
      </w:r>
      <w:r w:rsidRPr="008E1AAF">
        <w:rPr>
          <w:rFonts w:ascii="Times New Roman" w:hAnsi="Times New Roman"/>
          <w:color w:val="000000"/>
        </w:rPr>
        <w:t xml:space="preserve"> </w:t>
      </w:r>
      <w:r w:rsidRPr="008E1AAF">
        <w:rPr>
          <w:rFonts w:ascii="Times New Roman" w:hAnsi="Times New Roman"/>
          <w:b/>
          <w:bCs/>
          <w:color w:val="000000"/>
        </w:rPr>
        <w:t>Act in Utmost Good Faith</w:t>
      </w:r>
    </w:p>
    <w:p w:rsidR="007858DD" w:rsidRPr="008E1AAF" w:rsidRDefault="007858DD" w:rsidP="008E1AAF">
      <w:pPr>
        <w:rPr>
          <w:rFonts w:ascii="Times New Roman" w:hAnsi="Times New Roman"/>
          <w:color w:val="000000"/>
        </w:rPr>
      </w:pPr>
      <w:r w:rsidRPr="008E1AAF">
        <w:rPr>
          <w:rFonts w:ascii="Times New Roman" w:hAnsi="Times New Roman"/>
          <w:color w:val="000000"/>
        </w:rPr>
        <w:t> </w:t>
      </w:r>
    </w:p>
    <w:p w:rsidR="007858DD" w:rsidRPr="008E1AAF" w:rsidRDefault="007858DD" w:rsidP="008E1AAF">
      <w:pPr>
        <w:rPr>
          <w:rFonts w:ascii="Times New Roman" w:hAnsi="Times New Roman"/>
          <w:color w:val="000000"/>
        </w:rPr>
      </w:pPr>
      <w:r w:rsidRPr="008E1AAF">
        <w:rPr>
          <w:rFonts w:ascii="Times New Roman" w:hAnsi="Times New Roman"/>
          <w:color w:val="000000"/>
        </w:rPr>
        <w:t xml:space="preserve">Utmost good faith is fundamental to being </w:t>
      </w:r>
      <w:r w:rsidRPr="008E1AAF">
        <w:rPr>
          <w:rFonts w:ascii="Times New Roman" w:hAnsi="Times New Roman"/>
          <w:i/>
          <w:color w:val="000000"/>
        </w:rPr>
        <w:t>loyal</w:t>
      </w:r>
      <w:r w:rsidRPr="008E1AAF">
        <w:rPr>
          <w:rFonts w:ascii="Times New Roman" w:hAnsi="Times New Roman"/>
          <w:color w:val="000000"/>
        </w:rPr>
        <w:t xml:space="preserve">. The advisor must be truthful, honest and accurate in all communications. This includes everything the advisor says or writes about himself, his firm, his experience and his recommendations. This is especially important regarding the existence and nature of potential and actual conflicts and any "bad news" about the client's portfolio or mistakes the advisor might make in serving the client. Again, as the SEC stated, in </w:t>
      </w:r>
      <w:r w:rsidRPr="008E1AAF">
        <w:rPr>
          <w:rFonts w:ascii="Times New Roman" w:hAnsi="Times New Roman"/>
          <w:i/>
          <w:color w:val="000000"/>
        </w:rPr>
        <w:t>Hughes:</w:t>
      </w: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b/>
          <w:i/>
          <w:color w:val="000000"/>
        </w:rPr>
      </w:pPr>
      <w:r w:rsidRPr="008E1AAF">
        <w:rPr>
          <w:rFonts w:ascii="Times New Roman" w:hAnsi="Times New Roman"/>
          <w:i/>
          <w:color w:val="000000"/>
        </w:rPr>
        <w:tab/>
      </w:r>
      <w:r w:rsidRPr="008E1AAF">
        <w:rPr>
          <w:rFonts w:ascii="Times New Roman" w:hAnsi="Times New Roman"/>
          <w:b/>
          <w:i/>
          <w:color w:val="000000"/>
        </w:rPr>
        <w:t xml:space="preserve">… </w:t>
      </w:r>
      <w:r w:rsidRPr="008E1AAF">
        <w:rPr>
          <w:rFonts w:ascii="Times New Roman" w:hAnsi="Times New Roman"/>
          <w:i/>
          <w:color w:val="000000"/>
          <w:u w:val="single"/>
        </w:rPr>
        <w:t>Disclose all material circumstances fully and completely</w:t>
      </w:r>
      <w:r w:rsidRPr="008E1AAF">
        <w:rPr>
          <w:rFonts w:ascii="Times New Roman" w:hAnsi="Times New Roman"/>
          <w:b/>
          <w:i/>
          <w:color w:val="000000"/>
        </w:rPr>
        <w:t xml:space="preserve"> </w:t>
      </w:r>
    </w:p>
    <w:p w:rsidR="007858DD" w:rsidRPr="008E1AAF" w:rsidRDefault="007858DD" w:rsidP="008E1AAF">
      <w:pPr>
        <w:pStyle w:val="Default"/>
        <w:ind w:left="720"/>
        <w:rPr>
          <w:i/>
        </w:rPr>
      </w:pPr>
    </w:p>
    <w:p w:rsidR="007858DD" w:rsidRPr="008E1AAF" w:rsidRDefault="007858DD" w:rsidP="008E1AAF">
      <w:pPr>
        <w:pStyle w:val="Default"/>
        <w:ind w:left="720"/>
        <w:rPr>
          <w:i/>
        </w:rPr>
      </w:pPr>
      <w:r w:rsidRPr="008E1AAF">
        <w:rPr>
          <w:i/>
        </w:rPr>
        <w:t>The duty of loyalty to his principal requires a fiduciary to disclose all material circumstances fully and completely. In the securities field one of the essential facts an investor should generally have before him in determining the desirability of either purchasing or selling a security is the current market price of the security. The disclosure of current market price will usually be of even greater significance than the disclosure of cost because market price is the test by which the value of securities is generally measured. (p. 7)</w:t>
      </w: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b/>
          <w:bCs/>
          <w:color w:val="000000"/>
        </w:rPr>
      </w:pPr>
    </w:p>
    <w:p w:rsidR="007858DD" w:rsidRPr="008E1AAF" w:rsidRDefault="007858DD" w:rsidP="008E1AAF">
      <w:pPr>
        <w:rPr>
          <w:rFonts w:ascii="Times New Roman" w:hAnsi="Times New Roman"/>
          <w:b/>
          <w:bCs/>
          <w:color w:val="000000"/>
        </w:rPr>
      </w:pPr>
      <w:r w:rsidRPr="008E1AAF">
        <w:rPr>
          <w:rFonts w:ascii="Times New Roman" w:hAnsi="Times New Roman"/>
          <w:b/>
          <w:bCs/>
          <w:color w:val="000000"/>
        </w:rPr>
        <w:t>Three: Avoid Conflicts of Interest</w:t>
      </w:r>
    </w:p>
    <w:p w:rsidR="007858DD" w:rsidRPr="008E1AAF" w:rsidRDefault="007858DD" w:rsidP="008E1AAF">
      <w:pPr>
        <w:rPr>
          <w:rFonts w:ascii="Times New Roman" w:hAnsi="Times New Roman"/>
          <w:color w:val="000000"/>
        </w:rPr>
      </w:pPr>
      <w:r w:rsidRPr="008E1AAF">
        <w:rPr>
          <w:rFonts w:ascii="Times New Roman" w:hAnsi="Times New Roman"/>
          <w:color w:val="000000"/>
        </w:rPr>
        <w:t xml:space="preserve">     </w:t>
      </w:r>
    </w:p>
    <w:p w:rsidR="007858DD" w:rsidRPr="008E1AAF" w:rsidRDefault="007858DD" w:rsidP="008E1AAF">
      <w:pPr>
        <w:rPr>
          <w:rFonts w:ascii="Times New Roman" w:hAnsi="Times New Roman"/>
          <w:color w:val="000000"/>
        </w:rPr>
      </w:pPr>
      <w:r w:rsidRPr="008E1AAF">
        <w:rPr>
          <w:rFonts w:ascii="Times New Roman" w:hAnsi="Times New Roman"/>
          <w:color w:val="000000"/>
        </w:rPr>
        <w:t xml:space="preserve">Conflicts of interest have long been acknowledged as undermining advice that is independent and objective and unbiased. As noted above, the Advisers Act was literally born from concerns of confusion between advisors and product salesperson, as “so-called “tipster” organizations were disguising themselves as legitimate advisory organizations.” </w:t>
      </w:r>
      <w:r w:rsidRPr="008E1AAF">
        <w:rPr>
          <w:rFonts w:ascii="Times New Roman" w:hAnsi="Times New Roman"/>
          <w:b/>
          <w:color w:val="000000"/>
          <w:sz w:val="16"/>
          <w:szCs w:val="16"/>
        </w:rPr>
        <w:t>10</w:t>
      </w: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color w:val="000000"/>
        </w:rPr>
      </w:pPr>
      <w:r w:rsidRPr="008E1AAF">
        <w:rPr>
          <w:rFonts w:ascii="Times New Roman" w:hAnsi="Times New Roman"/>
          <w:color w:val="000000"/>
        </w:rPr>
        <w:t xml:space="preserve">Conflicts of interest are generally deemed to be incentives, favors, benefits, and compensation which can reasonably be expected to interfere with unbiased advice. Compensation arrangements which directly alter payment levels to advisors or brokers depending on the investment strategy or product recommendations are clear and well-known conflicts of interest.   </w:t>
      </w:r>
    </w:p>
    <w:p w:rsidR="007858DD" w:rsidRPr="008E1AAF" w:rsidRDefault="007858DD" w:rsidP="008E1AAF">
      <w:pPr>
        <w:pStyle w:val="NormalWeb"/>
        <w:rPr>
          <w:rStyle w:val="Emphasis"/>
          <w:i w:val="0"/>
          <w:iCs w:val="0"/>
        </w:rPr>
      </w:pPr>
      <w:r w:rsidRPr="008E1AAF">
        <w:t xml:space="preserve">Rendering undivided loyalty is difficult. At its heart, loyalty is being sensitive to, and competent at identifying and avoiding conflicts of interest. Conflicts of interest have been likened to a cancer on objective advice. Conflicts can severely undermine objectivity of even the best intentioned advisors. Some researchers go so far to conclude that conflicts essentially make objectivity impossible. At the Institute for the Fiduciary Standard September 9th Fiduciary Forum, 2011, Yale Management Professor Daylian Cain concluded: </w:t>
      </w:r>
    </w:p>
    <w:p w:rsidR="007858DD" w:rsidRPr="008E1AAF" w:rsidRDefault="007858DD" w:rsidP="008E1AAF">
      <w:pPr>
        <w:pStyle w:val="NormalWeb"/>
        <w:ind w:firstLine="720"/>
        <w:jc w:val="center"/>
        <w:rPr>
          <w:i/>
          <w:iCs/>
        </w:rPr>
      </w:pPr>
      <w:r w:rsidRPr="008E1AAF">
        <w:rPr>
          <w:rStyle w:val="Emphasis"/>
        </w:rPr>
        <w:t>“Conflicts of interest are a cancer on objectivity. Even well-meaning advisors often cannot overcome a conflict and give objective advice. More worrisome, perhaps, investors usually do not sufficiently heed even the briefest, bluntest and clearest disclosure warnings of conflicts of interest.”</w:t>
      </w:r>
    </w:p>
    <w:p w:rsidR="007858DD" w:rsidRPr="008E1AAF" w:rsidRDefault="007858DD" w:rsidP="008E1AAF">
      <w:pPr>
        <w:rPr>
          <w:rFonts w:ascii="Times New Roman" w:hAnsi="Times New Roman"/>
          <w:color w:val="000000"/>
        </w:rPr>
      </w:pPr>
      <w:r w:rsidRPr="008E1AAF">
        <w:rPr>
          <w:rFonts w:ascii="Times New Roman" w:hAnsi="Times New Roman"/>
          <w:color w:val="000000"/>
        </w:rPr>
        <w:t xml:space="preserve">In </w:t>
      </w:r>
      <w:r w:rsidRPr="008E1AAF">
        <w:rPr>
          <w:rFonts w:ascii="Times New Roman" w:hAnsi="Times New Roman"/>
          <w:i/>
          <w:color w:val="000000"/>
        </w:rPr>
        <w:t>Hughes</w:t>
      </w:r>
      <w:r w:rsidRPr="008E1AAF">
        <w:rPr>
          <w:rFonts w:ascii="Times New Roman" w:hAnsi="Times New Roman"/>
          <w:color w:val="000000"/>
        </w:rPr>
        <w:t xml:space="preserve">, the SEC stresses the importance of advisors avoiding conflicts of interest but for allowing an exception when “the principal gives his informed consent.”  </w:t>
      </w:r>
    </w:p>
    <w:p w:rsidR="007858DD" w:rsidRPr="008E1AAF" w:rsidRDefault="007858DD" w:rsidP="008E1AAF">
      <w:pPr>
        <w:pStyle w:val="Default"/>
        <w:ind w:left="720"/>
        <w:rPr>
          <w:i/>
        </w:rPr>
      </w:pPr>
    </w:p>
    <w:p w:rsidR="007858DD" w:rsidRPr="008E1AAF" w:rsidRDefault="007858DD" w:rsidP="008E1AAF">
      <w:pPr>
        <w:pStyle w:val="Default"/>
        <w:ind w:left="720"/>
        <w:rPr>
          <w:i/>
          <w:u w:val="single"/>
        </w:rPr>
      </w:pPr>
      <w:r w:rsidRPr="008E1AAF">
        <w:rPr>
          <w:i/>
          <w:u w:val="single"/>
        </w:rPr>
        <w:t xml:space="preserve">It is the general rule that a fiduciary must not put himself into a position </w:t>
      </w:r>
    </w:p>
    <w:p w:rsidR="007858DD" w:rsidRPr="008E1AAF" w:rsidRDefault="007858DD" w:rsidP="008E1AAF">
      <w:pPr>
        <w:pStyle w:val="Default"/>
        <w:ind w:left="720"/>
        <w:rPr>
          <w:i/>
          <w:u w:val="single"/>
        </w:rPr>
      </w:pPr>
      <w:r w:rsidRPr="008E1AAF">
        <w:rPr>
          <w:i/>
          <w:u w:val="single"/>
        </w:rPr>
        <w:t>where his own interests may come into conflict with those of his principal.</w:t>
      </w:r>
    </w:p>
    <w:p w:rsidR="007858DD" w:rsidRPr="008E1AAF" w:rsidRDefault="007858DD" w:rsidP="008E1AAF">
      <w:pPr>
        <w:pStyle w:val="Default"/>
        <w:ind w:left="720"/>
        <w:rPr>
          <w:i/>
        </w:rPr>
      </w:pPr>
      <w:r w:rsidRPr="008E1AAF">
        <w:rPr>
          <w:i/>
        </w:rPr>
        <w:t xml:space="preserve"> </w:t>
      </w:r>
    </w:p>
    <w:p w:rsidR="007858DD" w:rsidRPr="008E1AAF" w:rsidRDefault="007858DD" w:rsidP="008E1AAF">
      <w:pPr>
        <w:pStyle w:val="Default"/>
        <w:ind w:left="720"/>
        <w:rPr>
          <w:i/>
        </w:rPr>
      </w:pPr>
      <w:r w:rsidRPr="008E1AAF">
        <w:rPr>
          <w:i/>
        </w:rPr>
        <w:t xml:space="preserve">Since loyalty to his trust is the first duty which a fiduciary owes to his principal, it is the general rule that a fiduciary must not put himself into a position where his own interests may come in conflict with those of his principal. To prevent any conflict and the possible subordination of this duty to act solely for the benefit of his principal, a fiduciary at common law is forbidden to deal as an adverse party with his principal. </w:t>
      </w:r>
    </w:p>
    <w:p w:rsidR="007858DD" w:rsidRPr="008E1AAF" w:rsidRDefault="007858DD" w:rsidP="008E1AAF">
      <w:pPr>
        <w:pStyle w:val="Default"/>
        <w:ind w:left="720"/>
        <w:rPr>
          <w:i/>
        </w:rPr>
      </w:pPr>
    </w:p>
    <w:p w:rsidR="007858DD" w:rsidRPr="008E1AAF" w:rsidRDefault="007858DD" w:rsidP="008E1AAF">
      <w:pPr>
        <w:pStyle w:val="Default"/>
        <w:ind w:left="720"/>
        <w:rPr>
          <w:i/>
        </w:rPr>
      </w:pPr>
      <w:r w:rsidRPr="008E1AAF">
        <w:rPr>
          <w:i/>
        </w:rPr>
        <w:t>An exception is made, however, where the principal gives his informed consent to such dealings. The question of law presented here is the extent of disclosure which must be made by a person, in the type of fiduciary relationship assumed by registrant, in obtaining consent to his selling his own securities to his principal. More specifically, the issue is whether such a fiduciary must make any disclosure in addition to the fact that he proposes to deal on his own account. We believe that it is perfectly clear that additional disclosure, and a consent based on such additional disclosure, are necessary before the fiduciary can assume such a conflicting position. (p. 6)</w:t>
      </w:r>
    </w:p>
    <w:p w:rsidR="007858DD" w:rsidRPr="008E1AAF" w:rsidRDefault="007858DD" w:rsidP="008E1AAF">
      <w:pPr>
        <w:pStyle w:val="Default"/>
        <w:ind w:left="720"/>
      </w:pPr>
    </w:p>
    <w:p w:rsidR="007858DD" w:rsidRPr="008E1AAF" w:rsidRDefault="007858DD" w:rsidP="008E1AAF">
      <w:pPr>
        <w:pStyle w:val="Default"/>
      </w:pPr>
      <w:r w:rsidRPr="008E1AAF">
        <w:t xml:space="preserve">The SEC speaks clearly. It frames the significance of conflicts to be, inherently and fundamentally, at odds with the duty of loyalty. As a consequence, the SEC underscores “the general rule” that a fiduciary “must not put himself into a position” that is conflicted. </w:t>
      </w: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color w:val="000000"/>
        </w:rPr>
      </w:pPr>
      <w:r w:rsidRPr="008E1AAF">
        <w:rPr>
          <w:rFonts w:ascii="Times New Roman" w:hAnsi="Times New Roman"/>
          <w:b/>
          <w:bCs/>
          <w:color w:val="000000"/>
        </w:rPr>
        <w:t xml:space="preserve">Four: Disclose All Material Facts and Conflicts; </w:t>
      </w:r>
    </w:p>
    <w:p w:rsidR="007858DD" w:rsidRPr="008E1AAF" w:rsidRDefault="007858DD" w:rsidP="008E1AAF">
      <w:pPr>
        <w:rPr>
          <w:rFonts w:ascii="Times New Roman" w:hAnsi="Times New Roman"/>
          <w:b/>
          <w:bCs/>
          <w:color w:val="000000"/>
        </w:rPr>
      </w:pPr>
      <w:r w:rsidRPr="008E1AAF">
        <w:rPr>
          <w:rFonts w:ascii="Times New Roman" w:hAnsi="Times New Roman"/>
          <w:b/>
          <w:bCs/>
          <w:color w:val="000000"/>
        </w:rPr>
        <w:t>Manage All Material Conflicts</w:t>
      </w: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color w:val="000000"/>
        </w:rPr>
      </w:pPr>
      <w:r w:rsidRPr="008E1AAF">
        <w:rPr>
          <w:rFonts w:ascii="Times New Roman" w:hAnsi="Times New Roman"/>
          <w:color w:val="000000"/>
        </w:rPr>
        <w:t>Disclosure is a cornerstone of securities regulation. This is well-known and not in dispute. What seems less well known is that the precise nature of the disclosure requirement changes, and changes materially, with the facts and circumstances presented. </w:t>
      </w: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bCs/>
          <w:color w:val="000000"/>
        </w:rPr>
      </w:pPr>
      <w:r w:rsidRPr="008E1AAF">
        <w:rPr>
          <w:rFonts w:ascii="Times New Roman" w:hAnsi="Times New Roman"/>
          <w:color w:val="000000"/>
        </w:rPr>
        <w:t xml:space="preserve">Advisors are required to make clear, complete and timely disclosure of all material facts and conflicts. These disclosures are typically set out in Form ADV. Material </w:t>
      </w:r>
      <w:r w:rsidRPr="008E1AAF">
        <w:rPr>
          <w:rFonts w:ascii="Times New Roman" w:hAnsi="Times New Roman"/>
          <w:bCs/>
          <w:color w:val="000000"/>
        </w:rPr>
        <w:t xml:space="preserve">conflicts, those conflicts defined as being sufficiently significant such as to reasonably influence a client decision to not proceed with the engagement or transaction, require the greatest care. </w:t>
      </w:r>
    </w:p>
    <w:p w:rsidR="007858DD" w:rsidRPr="008E1AAF" w:rsidRDefault="007858DD" w:rsidP="008E1AAF">
      <w:pPr>
        <w:rPr>
          <w:rFonts w:ascii="Times New Roman" w:hAnsi="Times New Roman"/>
          <w:color w:val="000000"/>
        </w:rPr>
      </w:pPr>
      <w:r w:rsidRPr="008E1AAF">
        <w:rPr>
          <w:rFonts w:ascii="Times New Roman" w:hAnsi="Times New Roman"/>
          <w:color w:val="000000"/>
        </w:rPr>
        <w:t>Managing material co</w:t>
      </w:r>
      <w:r>
        <w:rPr>
          <w:rFonts w:ascii="Times New Roman" w:hAnsi="Times New Roman"/>
          <w:color w:val="000000"/>
        </w:rPr>
        <w:t xml:space="preserve">nflicts </w:t>
      </w:r>
      <w:r w:rsidRPr="008E1AAF">
        <w:rPr>
          <w:rFonts w:ascii="Times New Roman" w:hAnsi="Times New Roman"/>
          <w:color w:val="000000"/>
        </w:rPr>
        <w:t>entail</w:t>
      </w:r>
      <w:r>
        <w:rPr>
          <w:rFonts w:ascii="Times New Roman" w:hAnsi="Times New Roman"/>
          <w:color w:val="000000"/>
        </w:rPr>
        <w:t>s</w:t>
      </w:r>
      <w:r w:rsidRPr="008E1AAF">
        <w:rPr>
          <w:rFonts w:ascii="Times New Roman" w:hAnsi="Times New Roman"/>
          <w:color w:val="000000"/>
        </w:rPr>
        <w:t xml:space="preserve"> several steps. First, there must be clear, complete and timely disclosure. Second, advisors must have a reasonable basis for believing that clients fully understand the disclosure, and the implications of the conflict(s) to the advisor and client. Implications may include the relative merits and risks of options not chosen by the advisor, and the additional fees (if any) earned by the advisor (whether paid out of client funds or not) and any additional expenses incurred. </w:t>
      </w: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color w:val="000000"/>
        </w:rPr>
      </w:pPr>
      <w:r w:rsidRPr="008E1AAF">
        <w:rPr>
          <w:rFonts w:ascii="Times New Roman" w:hAnsi="Times New Roman"/>
          <w:color w:val="000000"/>
        </w:rPr>
        <w:t xml:space="preserve">Third, if a client wishes to accept the recommendation and proceed with the transaction after indicating a full and complete understanding of the conflict's implications, the client must provide this consent before the transaction is completed. </w:t>
      </w: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color w:val="000000"/>
        </w:rPr>
      </w:pPr>
      <w:r w:rsidRPr="008E1AAF">
        <w:rPr>
          <w:rFonts w:ascii="Times New Roman" w:hAnsi="Times New Roman"/>
          <w:color w:val="000000"/>
        </w:rPr>
        <w:t>Finally, after receiving this "informed, intelligent, and independent" client consent, the advisor must still demonstrate that, notwithstanding the conflict, the recommendation remains reasonable and fair and consistent with the client's best interest. </w:t>
      </w:r>
    </w:p>
    <w:p w:rsidR="007858DD" w:rsidRPr="008E1AAF" w:rsidRDefault="007858DD" w:rsidP="008E1AAF">
      <w:pPr>
        <w:rPr>
          <w:rFonts w:ascii="Times New Roman" w:hAnsi="Times New Roman"/>
          <w:i/>
          <w:color w:val="000000"/>
        </w:rPr>
      </w:pPr>
    </w:p>
    <w:p w:rsidR="007858DD" w:rsidRPr="008E1AAF" w:rsidRDefault="007858DD" w:rsidP="008E1AAF">
      <w:pPr>
        <w:rPr>
          <w:rFonts w:ascii="Times New Roman" w:hAnsi="Times New Roman"/>
          <w:color w:val="000000"/>
        </w:rPr>
      </w:pPr>
      <w:r w:rsidRPr="008E1AAF">
        <w:rPr>
          <w:rFonts w:ascii="Times New Roman" w:hAnsi="Times New Roman"/>
          <w:color w:val="000000"/>
        </w:rPr>
        <w:t>In</w:t>
      </w:r>
      <w:r w:rsidRPr="008E1AAF">
        <w:rPr>
          <w:rFonts w:ascii="Times New Roman" w:hAnsi="Times New Roman"/>
          <w:i/>
          <w:color w:val="000000"/>
        </w:rPr>
        <w:t xml:space="preserve"> Hughes</w:t>
      </w:r>
      <w:r w:rsidRPr="008E1AAF">
        <w:rPr>
          <w:rFonts w:ascii="Times New Roman" w:hAnsi="Times New Roman"/>
          <w:color w:val="000000"/>
        </w:rPr>
        <w:t xml:space="preserve">, the SEC carefully describes the burden the Advisor must overcome to complete a transaction when there is s a material conflict of interest. </w:t>
      </w: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i/>
          <w:color w:val="000000"/>
          <w:u w:val="single"/>
        </w:rPr>
      </w:pPr>
      <w:r w:rsidRPr="008E1AAF">
        <w:rPr>
          <w:rFonts w:ascii="Times New Roman" w:hAnsi="Times New Roman"/>
          <w:i/>
          <w:color w:val="000000"/>
        </w:rPr>
        <w:tab/>
      </w:r>
      <w:r w:rsidRPr="008E1AAF">
        <w:rPr>
          <w:rFonts w:ascii="Times New Roman" w:hAnsi="Times New Roman"/>
          <w:i/>
          <w:color w:val="000000"/>
          <w:u w:val="single"/>
        </w:rPr>
        <w:t xml:space="preserve">If, but only if, she obtains her client’s consent after disclosure… of all other facts </w:t>
      </w:r>
    </w:p>
    <w:p w:rsidR="007858DD" w:rsidRPr="008E1AAF" w:rsidRDefault="007858DD" w:rsidP="008E1AAF">
      <w:pPr>
        <w:rPr>
          <w:rFonts w:ascii="Times New Roman" w:hAnsi="Times New Roman"/>
          <w:i/>
          <w:color w:val="000000"/>
          <w:u w:val="single"/>
        </w:rPr>
      </w:pPr>
      <w:r w:rsidRPr="008E1AAF">
        <w:rPr>
          <w:rFonts w:ascii="Times New Roman" w:hAnsi="Times New Roman"/>
          <w:b/>
          <w:i/>
          <w:color w:val="000000"/>
        </w:rPr>
        <w:tab/>
      </w:r>
      <w:r w:rsidRPr="008E1AAF">
        <w:rPr>
          <w:rFonts w:ascii="Times New Roman" w:hAnsi="Times New Roman"/>
          <w:i/>
          <w:color w:val="000000"/>
          <w:u w:val="single"/>
        </w:rPr>
        <w:t xml:space="preserve">which may be material to the formulation of an independent opinion … as to the </w:t>
      </w:r>
    </w:p>
    <w:p w:rsidR="007858DD" w:rsidRPr="008E1AAF" w:rsidRDefault="007858DD" w:rsidP="008E1AAF">
      <w:pPr>
        <w:rPr>
          <w:rFonts w:ascii="Times New Roman" w:hAnsi="Times New Roman"/>
          <w:i/>
          <w:color w:val="000000"/>
          <w:u w:val="single"/>
        </w:rPr>
      </w:pPr>
      <w:r w:rsidRPr="008E1AAF">
        <w:rPr>
          <w:rFonts w:ascii="Times New Roman" w:hAnsi="Times New Roman"/>
          <w:b/>
          <w:i/>
          <w:color w:val="000000"/>
        </w:rPr>
        <w:tab/>
      </w:r>
      <w:r w:rsidRPr="008E1AAF">
        <w:rPr>
          <w:rFonts w:ascii="Times New Roman" w:hAnsi="Times New Roman"/>
          <w:i/>
          <w:color w:val="000000"/>
          <w:u w:val="single"/>
        </w:rPr>
        <w:t xml:space="preserve">advisability of entering into the transaction.   </w:t>
      </w:r>
    </w:p>
    <w:p w:rsidR="007858DD" w:rsidRPr="008E1AAF" w:rsidRDefault="007858DD" w:rsidP="008E1AAF">
      <w:pPr>
        <w:rPr>
          <w:rFonts w:ascii="Times New Roman" w:hAnsi="Times New Roman"/>
          <w:color w:val="000000"/>
          <w:u w:val="single"/>
        </w:rPr>
      </w:pPr>
    </w:p>
    <w:p w:rsidR="007858DD" w:rsidRPr="008E1AAF" w:rsidRDefault="007858DD" w:rsidP="008E1AAF">
      <w:pPr>
        <w:pStyle w:val="Default"/>
        <w:ind w:left="720"/>
        <w:rPr>
          <w:i/>
        </w:rPr>
      </w:pPr>
      <w:r w:rsidRPr="008E1AAF">
        <w:rPr>
          <w:i/>
        </w:rPr>
        <w:t xml:space="preserve">As a general rule and aside from the limited exception which we have discussed, it would be highly improper for registrant to take a conflicting position in which, on the one hand, she is motivated to sell securities which may be most profitable to her and in her own best interests and, on the other, to recommend the purchase of securities solely on the basis of the best interests of her clients. And, of course, registrant has a free choice to avoid this conflict by confining her activities only to those of investment counsel so that she would be motivated to act only for the best interests of her clients. But, if registrant chooses to assume a role in which she is motivated by conflicting interests, under the exception we have discussed she may do so if, but only if, she obtains her client's consent after disclosure not only that she proposes to deal with them for her own account but also of all other facts which may be material to the formulation of an independent opinion by the client as to the advisability of entering into the transaction. </w:t>
      </w:r>
    </w:p>
    <w:p w:rsidR="007858DD" w:rsidRPr="008E1AAF" w:rsidRDefault="007858DD" w:rsidP="008E1AAF">
      <w:pPr>
        <w:pStyle w:val="Default"/>
        <w:rPr>
          <w:i/>
        </w:rPr>
      </w:pPr>
    </w:p>
    <w:p w:rsidR="007858DD" w:rsidRPr="008E1AAF" w:rsidRDefault="007858DD" w:rsidP="008E1AAF">
      <w:pPr>
        <w:pStyle w:val="Default"/>
        <w:ind w:left="720"/>
        <w:rPr>
          <w:i/>
        </w:rPr>
      </w:pPr>
      <w:r w:rsidRPr="008E1AAF">
        <w:rPr>
          <w:i/>
        </w:rPr>
        <w:t xml:space="preserve">These facts should include, as we have already stated, registrant's own cost of the securities she proposes to sell as well as the market value of the securities where the market price is better than the price asked of the client. This requirement, as we have shown, has its basis in well settled propositions of law and imposes no novel obligation upon the registrant.  (p. 8) </w:t>
      </w:r>
    </w:p>
    <w:p w:rsidR="007858DD" w:rsidRPr="008E1AAF" w:rsidRDefault="007858DD" w:rsidP="008E1AAF">
      <w:pPr>
        <w:pStyle w:val="Default"/>
        <w:rPr>
          <w:i/>
        </w:rPr>
      </w:pPr>
    </w:p>
    <w:p w:rsidR="007858DD" w:rsidRPr="008E1AAF" w:rsidRDefault="007858DD" w:rsidP="008E1AAF">
      <w:pPr>
        <w:pStyle w:val="Default"/>
        <w:rPr>
          <w:i/>
        </w:rPr>
      </w:pPr>
    </w:p>
    <w:p w:rsidR="007858DD" w:rsidRPr="008E1AAF" w:rsidRDefault="007858DD" w:rsidP="008E1AAF">
      <w:pPr>
        <w:pStyle w:val="Default"/>
        <w:rPr>
          <w:i/>
        </w:rPr>
      </w:pPr>
    </w:p>
    <w:p w:rsidR="007858DD" w:rsidRPr="008E1AAF" w:rsidRDefault="007858DD" w:rsidP="008E1AAF">
      <w:pPr>
        <w:pStyle w:val="Default"/>
        <w:rPr>
          <w:i/>
        </w:rPr>
      </w:pPr>
    </w:p>
    <w:p w:rsidR="007858DD" w:rsidRPr="008E1AAF" w:rsidRDefault="007858DD" w:rsidP="008E1AAF">
      <w:pPr>
        <w:pStyle w:val="Default"/>
        <w:rPr>
          <w:i/>
        </w:rPr>
      </w:pPr>
    </w:p>
    <w:p w:rsidR="007858DD" w:rsidRPr="008E1AAF" w:rsidRDefault="007858DD" w:rsidP="008E1AAF">
      <w:pPr>
        <w:pStyle w:val="Default"/>
        <w:ind w:firstLine="720"/>
        <w:rPr>
          <w:i/>
          <w:u w:val="single"/>
        </w:rPr>
      </w:pPr>
      <w:r w:rsidRPr="008E1AAF">
        <w:rPr>
          <w:i/>
          <w:u w:val="single"/>
        </w:rPr>
        <w:t>Registrant cannot satisfy this duty by executing an agreement with her clients….</w:t>
      </w:r>
    </w:p>
    <w:p w:rsidR="007858DD" w:rsidRPr="008E1AAF" w:rsidRDefault="007858DD" w:rsidP="008E1AAF">
      <w:pPr>
        <w:pStyle w:val="Default"/>
        <w:rPr>
          <w:i/>
        </w:rPr>
      </w:pPr>
    </w:p>
    <w:p w:rsidR="007858DD" w:rsidRPr="008E1AAF" w:rsidRDefault="007858DD" w:rsidP="008E1AAF">
      <w:pPr>
        <w:pStyle w:val="Default"/>
        <w:ind w:left="720"/>
        <w:rPr>
          <w:i/>
        </w:rPr>
      </w:pPr>
      <w:r w:rsidRPr="008E1AAF">
        <w:rPr>
          <w:i/>
        </w:rPr>
        <w:t xml:space="preserve">Registrant has an affirmative obligation to disclose all material facts to her clients in a manner which is clear enough so that a client is fully apprised of the facts and is in a position to give his informed consent. And this disclosure, if it is to be meaningful and effective, must be timely. It must be provided before the completion of the transaction so that the client will know all the facts at the time that he is asked to give his consent. Registrant cannot satisfy this duty by executing an agreement with her clients which the record shows some clients do not understand and which, in any event, does not contain the essential facts which she must communicate. (p. 9, 10) </w:t>
      </w:r>
    </w:p>
    <w:p w:rsidR="007858DD" w:rsidRPr="008E1AAF" w:rsidRDefault="007858DD" w:rsidP="008E1AAF">
      <w:pPr>
        <w:rPr>
          <w:rFonts w:ascii="Times New Roman" w:hAnsi="Times New Roman"/>
          <w:i/>
          <w:color w:val="000000"/>
        </w:rPr>
      </w:pPr>
    </w:p>
    <w:p w:rsidR="007858DD" w:rsidRPr="008E1AAF" w:rsidRDefault="007858DD" w:rsidP="008E1AAF">
      <w:pPr>
        <w:ind w:left="720"/>
        <w:rPr>
          <w:rFonts w:ascii="Times New Roman" w:hAnsi="Times New Roman"/>
          <w:b/>
          <w:i/>
          <w:color w:val="000000"/>
          <w:u w:val="single"/>
        </w:rPr>
      </w:pPr>
      <w:r w:rsidRPr="008E1AAF">
        <w:rPr>
          <w:rFonts w:ascii="Times New Roman" w:hAnsi="Times New Roman"/>
          <w:i/>
          <w:u w:val="single"/>
        </w:rPr>
        <w:t>The explanation must be such, however, that the particular client is clearly advised and</w:t>
      </w:r>
      <w:r w:rsidRPr="008E1AAF">
        <w:rPr>
          <w:rFonts w:ascii="Times New Roman" w:hAnsi="Times New Roman"/>
          <w:b/>
          <w:i/>
          <w:u w:val="single"/>
        </w:rPr>
        <w:t xml:space="preserve"> </w:t>
      </w:r>
      <w:r w:rsidRPr="008E1AAF">
        <w:rPr>
          <w:rFonts w:ascii="Times New Roman" w:hAnsi="Times New Roman"/>
          <w:i/>
          <w:u w:val="single"/>
        </w:rPr>
        <w:t>understands before the completion of each transaction that registrant proposes to sell</w:t>
      </w:r>
      <w:r w:rsidRPr="008E1AAF">
        <w:rPr>
          <w:rFonts w:ascii="Times New Roman" w:hAnsi="Times New Roman"/>
          <w:b/>
          <w:i/>
          <w:u w:val="single"/>
        </w:rPr>
        <w:t xml:space="preserve"> her </w:t>
      </w:r>
      <w:r w:rsidRPr="008E1AAF">
        <w:rPr>
          <w:rFonts w:ascii="Times New Roman" w:hAnsi="Times New Roman"/>
          <w:i/>
          <w:u w:val="single"/>
        </w:rPr>
        <w:t>own securities</w:t>
      </w:r>
    </w:p>
    <w:p w:rsidR="007858DD" w:rsidRPr="008E1AAF" w:rsidRDefault="007858DD" w:rsidP="008E1AAF">
      <w:pPr>
        <w:rPr>
          <w:rFonts w:ascii="Times New Roman" w:hAnsi="Times New Roman"/>
          <w:i/>
          <w:color w:val="000000"/>
        </w:rPr>
      </w:pPr>
    </w:p>
    <w:p w:rsidR="007858DD" w:rsidRPr="008E1AAF" w:rsidRDefault="007858DD" w:rsidP="008E1AAF">
      <w:pPr>
        <w:pStyle w:val="Default"/>
        <w:ind w:left="720"/>
        <w:rPr>
          <w:i/>
        </w:rPr>
      </w:pPr>
      <w:r w:rsidRPr="008E1AAF">
        <w:rPr>
          <w:i/>
        </w:rPr>
        <w:t xml:space="preserve">It is clear from this testimony that certain of registrant's clients did not understand that registrant consistently proposed to, and in fact did, sell her own securities to them. Accordingly, registrant did not fulfill her affirmative obligation to disclose the capacity in which she acted, a duty which even she concedes she must perform. In this connection, we may point out that no hard and fast rule can be set down as to an appropriate method for registrant to disclose the fact that she proposes to deal on her own account. The method and extent of disclosure depends upon the particular client involved. The investor who is not familiar with the practices of the securities business requires a more extensive explanation than the informed investor. The explanation must be such, however, that the particular client is clearly advised and understands before the completion of each transaction that registrant proposes to sell her own securities. 17 </w:t>
      </w:r>
    </w:p>
    <w:p w:rsidR="007858DD" w:rsidRPr="008E1AAF" w:rsidRDefault="007858DD" w:rsidP="008E1AAF">
      <w:pPr>
        <w:rPr>
          <w:rFonts w:ascii="Times New Roman" w:hAnsi="Times New Roman"/>
          <w:b/>
          <w:bCs/>
          <w:color w:val="000000"/>
        </w:rPr>
      </w:pPr>
    </w:p>
    <w:p w:rsidR="007858DD" w:rsidRPr="008E1AAF" w:rsidRDefault="007858DD" w:rsidP="008E1AAF">
      <w:pPr>
        <w:rPr>
          <w:rFonts w:ascii="Times New Roman" w:hAnsi="Times New Roman"/>
          <w:bCs/>
          <w:color w:val="000000"/>
        </w:rPr>
      </w:pPr>
      <w:r w:rsidRPr="008E1AAF">
        <w:rPr>
          <w:rFonts w:ascii="Times New Roman" w:hAnsi="Times New Roman"/>
          <w:bCs/>
          <w:color w:val="000000"/>
        </w:rPr>
        <w:t xml:space="preserve">The SEC stresses three points that are particularly relevant. First, even though an advisor is permitted to do so, it is described in </w:t>
      </w:r>
      <w:r w:rsidRPr="008E1AAF">
        <w:rPr>
          <w:rFonts w:ascii="Times New Roman" w:hAnsi="Times New Roman"/>
          <w:bCs/>
          <w:i/>
          <w:color w:val="000000"/>
        </w:rPr>
        <w:t xml:space="preserve">Hughes </w:t>
      </w:r>
      <w:r w:rsidRPr="008E1AAF">
        <w:rPr>
          <w:rFonts w:ascii="Times New Roman" w:hAnsi="Times New Roman"/>
          <w:bCs/>
          <w:color w:val="000000"/>
        </w:rPr>
        <w:t xml:space="preserve">as “highly improper” or </w:t>
      </w:r>
      <w:r>
        <w:rPr>
          <w:rFonts w:ascii="Times New Roman" w:hAnsi="Times New Roman"/>
          <w:bCs/>
          <w:color w:val="000000"/>
        </w:rPr>
        <w:t>a ver</w:t>
      </w:r>
      <w:r w:rsidRPr="008E1AAF">
        <w:rPr>
          <w:rFonts w:ascii="Times New Roman" w:hAnsi="Times New Roman"/>
          <w:bCs/>
          <w:color w:val="000000"/>
        </w:rPr>
        <w:t xml:space="preserve">y inappropriate choice for an advisor to elect to “take a conflicting position… where she is motivated to sell securities which may be most profitable to her and in her own best interests..”   </w:t>
      </w:r>
    </w:p>
    <w:p w:rsidR="007858DD" w:rsidRPr="008E1AAF" w:rsidRDefault="007858DD" w:rsidP="008E1AAF">
      <w:pPr>
        <w:rPr>
          <w:rFonts w:ascii="Times New Roman" w:hAnsi="Times New Roman"/>
          <w:bCs/>
          <w:color w:val="000000"/>
        </w:rPr>
      </w:pPr>
    </w:p>
    <w:p w:rsidR="007858DD" w:rsidRPr="008E1AAF" w:rsidRDefault="007858DD" w:rsidP="008E1AAF">
      <w:pPr>
        <w:rPr>
          <w:rFonts w:ascii="Times New Roman" w:hAnsi="Times New Roman"/>
          <w:bCs/>
          <w:color w:val="000000"/>
        </w:rPr>
      </w:pPr>
      <w:r w:rsidRPr="008E1AAF">
        <w:rPr>
          <w:rFonts w:ascii="Times New Roman" w:hAnsi="Times New Roman"/>
          <w:bCs/>
          <w:color w:val="000000"/>
        </w:rPr>
        <w:t xml:space="preserve">Second, a blanket disclosure in a contractual agreement does not satisfy the heavy burden placed on the advisor who renders conflicted advice. </w:t>
      </w:r>
    </w:p>
    <w:p w:rsidR="007858DD" w:rsidRPr="008E1AAF" w:rsidRDefault="007858DD" w:rsidP="008E1AAF">
      <w:pPr>
        <w:rPr>
          <w:rFonts w:ascii="Times New Roman" w:hAnsi="Times New Roman"/>
          <w:bCs/>
          <w:color w:val="000000"/>
        </w:rPr>
      </w:pPr>
    </w:p>
    <w:p w:rsidR="007858DD" w:rsidRPr="008E1AAF" w:rsidRDefault="007858DD" w:rsidP="008E1AAF">
      <w:pPr>
        <w:rPr>
          <w:rFonts w:ascii="Times New Roman" w:hAnsi="Times New Roman"/>
          <w:bCs/>
          <w:color w:val="000000"/>
        </w:rPr>
      </w:pPr>
      <w:r w:rsidRPr="008E1AAF">
        <w:rPr>
          <w:rFonts w:ascii="Times New Roman" w:hAnsi="Times New Roman"/>
          <w:bCs/>
          <w:color w:val="000000"/>
        </w:rPr>
        <w:t xml:space="preserve">Third, and perhaps most pertinent today, there can not be, by the very nature of the facts and circumstances assessment required, any “hard and fast rule” as to what a disclosure entails that is true for all disclosures at all times. The SEC reminds us here, “The method and extent of disclosure depends on the client involved.” The reason for this facts and circumstances disclosure rule: The overriding requirement of any disclosure is that the client “understands” the implications of the conflict, and that the advisor is the party held responsible to ensure the client understands.   </w:t>
      </w:r>
    </w:p>
    <w:p w:rsidR="007858DD" w:rsidRDefault="007858DD" w:rsidP="008E1AAF">
      <w:pPr>
        <w:rPr>
          <w:rFonts w:ascii="Times New Roman" w:hAnsi="Times New Roman"/>
          <w:b/>
          <w:bCs/>
          <w:color w:val="000000"/>
        </w:rPr>
      </w:pPr>
    </w:p>
    <w:p w:rsidR="007858DD" w:rsidRDefault="007858DD" w:rsidP="008E1AAF">
      <w:pPr>
        <w:rPr>
          <w:rFonts w:ascii="Times New Roman" w:hAnsi="Times New Roman"/>
          <w:b/>
          <w:bCs/>
          <w:color w:val="000000"/>
        </w:rPr>
      </w:pPr>
    </w:p>
    <w:p w:rsidR="007858DD" w:rsidRPr="008E1AAF" w:rsidRDefault="007858DD" w:rsidP="008E1AAF">
      <w:pPr>
        <w:rPr>
          <w:rFonts w:ascii="Times New Roman" w:hAnsi="Times New Roman"/>
          <w:b/>
          <w:bCs/>
          <w:color w:val="000000"/>
        </w:rPr>
      </w:pPr>
    </w:p>
    <w:p w:rsidR="007858DD" w:rsidRPr="008E1AAF" w:rsidRDefault="007858DD" w:rsidP="008E1AAF">
      <w:pPr>
        <w:rPr>
          <w:rFonts w:ascii="Times New Roman" w:hAnsi="Times New Roman"/>
          <w:b/>
          <w:bCs/>
          <w:color w:val="000000"/>
        </w:rPr>
      </w:pPr>
      <w:r w:rsidRPr="008E1AAF">
        <w:rPr>
          <w:rFonts w:ascii="Times New Roman" w:hAnsi="Times New Roman"/>
          <w:b/>
          <w:bCs/>
          <w:color w:val="000000"/>
        </w:rPr>
        <w:t>Five: Act Prudently -- With the Care, Skill and Judgment of a Professional</w:t>
      </w:r>
    </w:p>
    <w:p w:rsidR="007858DD" w:rsidRPr="008E1AAF" w:rsidRDefault="007858DD" w:rsidP="008E1AAF">
      <w:pPr>
        <w:rPr>
          <w:rFonts w:ascii="Times New Roman" w:hAnsi="Times New Roman"/>
          <w:color w:val="000000"/>
        </w:rPr>
      </w:pPr>
      <w:r w:rsidRPr="008E1AAF">
        <w:rPr>
          <w:rFonts w:ascii="Times New Roman" w:hAnsi="Times New Roman"/>
          <w:color w:val="000000"/>
        </w:rPr>
        <w:t> </w:t>
      </w:r>
    </w:p>
    <w:p w:rsidR="007858DD" w:rsidRPr="008E1AAF" w:rsidRDefault="007858DD" w:rsidP="008E1AAF">
      <w:pPr>
        <w:rPr>
          <w:rFonts w:ascii="Times New Roman" w:hAnsi="Times New Roman"/>
          <w:color w:val="000000"/>
        </w:rPr>
      </w:pPr>
      <w:r w:rsidRPr="008E1AAF">
        <w:rPr>
          <w:rFonts w:ascii="Times New Roman" w:hAnsi="Times New Roman"/>
          <w:color w:val="000000"/>
        </w:rPr>
        <w:t xml:space="preserve">To act prudently is to act with </w:t>
      </w:r>
      <w:r w:rsidRPr="008E1AAF">
        <w:rPr>
          <w:rFonts w:ascii="Times New Roman" w:hAnsi="Times New Roman"/>
          <w:i/>
          <w:color w:val="000000"/>
        </w:rPr>
        <w:t>due care</w:t>
      </w:r>
      <w:r w:rsidRPr="008E1AAF">
        <w:rPr>
          <w:rFonts w:ascii="Times New Roman" w:hAnsi="Times New Roman"/>
          <w:color w:val="000000"/>
        </w:rPr>
        <w:t xml:space="preserve"> and is the standard of a professional. Acting with skill, judgment and care, and in complete consideration of the circumstances of the client must be a fiduciary’s second nature. (While acting with due care may appear obvious, independent research suggests that many investors are advised to invest in vehicles that are not the result of a prudent process and due care and not necessarily in their best interest.)</w:t>
      </w:r>
    </w:p>
    <w:p w:rsidR="007858DD" w:rsidRPr="008E1AAF" w:rsidRDefault="007858DD" w:rsidP="008E1AAF">
      <w:pPr>
        <w:rPr>
          <w:rFonts w:ascii="Times New Roman" w:hAnsi="Times New Roman"/>
          <w:color w:val="000000"/>
        </w:rPr>
      </w:pPr>
    </w:p>
    <w:p w:rsidR="007858DD" w:rsidRDefault="007858DD" w:rsidP="008E1AAF">
      <w:pPr>
        <w:rPr>
          <w:rFonts w:ascii="Times New Roman" w:hAnsi="Times New Roman"/>
          <w:color w:val="000000"/>
        </w:rPr>
      </w:pPr>
      <w:r w:rsidRPr="008E1AAF">
        <w:rPr>
          <w:rFonts w:ascii="Times New Roman" w:hAnsi="Times New Roman"/>
          <w:color w:val="000000"/>
        </w:rPr>
        <w:t xml:space="preserve">Due care requires following a prudent process and having the knowledge to make appropriate recommendations. A prudent process requires investigating and assessing an investment’s or firm’s characteristics (not just performance) based on objective criteria and, preferably, with quantifiable data. </w:t>
      </w:r>
    </w:p>
    <w:p w:rsidR="007858DD" w:rsidRDefault="007858DD" w:rsidP="008E1AAF">
      <w:pPr>
        <w:rPr>
          <w:rFonts w:ascii="Times New Roman" w:hAnsi="Times New Roman"/>
          <w:color w:val="000000"/>
        </w:rPr>
      </w:pPr>
    </w:p>
    <w:p w:rsidR="007858DD" w:rsidRPr="008E1AAF" w:rsidRDefault="007858DD" w:rsidP="008E1AAF">
      <w:pPr>
        <w:rPr>
          <w:rFonts w:ascii="Times New Roman" w:hAnsi="Times New Roman"/>
          <w:color w:val="000000"/>
        </w:rPr>
      </w:pPr>
      <w:r w:rsidRPr="008E1AAF">
        <w:rPr>
          <w:rFonts w:ascii="Times New Roman" w:hAnsi="Times New Roman"/>
          <w:color w:val="000000"/>
        </w:rPr>
        <w:t xml:space="preserve">Therefore, a prudent process means taking all the necessary analytical and research steps to determine the most appropriate recommendations. For investment products, advisors are required to use industry best practices to investigate, evaluate, and construct a portfolio. </w:t>
      </w:r>
      <w:r>
        <w:rPr>
          <w:rFonts w:ascii="Times New Roman" w:hAnsi="Times New Roman"/>
          <w:color w:val="000000"/>
        </w:rPr>
        <w:t xml:space="preserve">Relying solely on third party rankings, fundamental analysis, or scoring schemes should not be confused with a prudent due care process in selecting and recommending investment or portfolio construction. </w:t>
      </w:r>
      <w:r w:rsidRPr="008E1AAF">
        <w:rPr>
          <w:rFonts w:ascii="Times New Roman" w:hAnsi="Times New Roman"/>
          <w:color w:val="000000"/>
        </w:rPr>
        <w:t>The key is the rigor of the process undertaken, not the performance of the portfolio.  </w:t>
      </w:r>
    </w:p>
    <w:p w:rsidR="007858DD" w:rsidRPr="008E1AAF" w:rsidRDefault="007858DD" w:rsidP="008E1AAF">
      <w:pPr>
        <w:rPr>
          <w:rFonts w:ascii="Times New Roman" w:hAnsi="Times New Roman"/>
          <w:color w:val="000000"/>
        </w:rPr>
      </w:pPr>
      <w:r w:rsidRPr="008E1AAF">
        <w:rPr>
          <w:rFonts w:ascii="Times New Roman" w:hAnsi="Times New Roman"/>
          <w:color w:val="000000"/>
        </w:rPr>
        <w:t> </w:t>
      </w:r>
    </w:p>
    <w:p w:rsidR="007858DD" w:rsidRPr="008E1AAF" w:rsidRDefault="007858DD" w:rsidP="008E1AAF">
      <w:pPr>
        <w:rPr>
          <w:rFonts w:ascii="Times New Roman" w:hAnsi="Times New Roman"/>
          <w:color w:val="000000"/>
        </w:rPr>
      </w:pPr>
      <w:r w:rsidRPr="008E1AAF">
        <w:rPr>
          <w:rFonts w:ascii="Times New Roman" w:hAnsi="Times New Roman"/>
          <w:color w:val="000000"/>
        </w:rPr>
        <w:t xml:space="preserve">While following a prudent process is essential, it is not sufficient. Advisors must also have and continuously update their knowledge, expertise, education and experience. Faithfully developing and monitoring an investment or financial strategy based on a client’s objectives and essential investment criteria requires these attributes.  </w:t>
      </w:r>
    </w:p>
    <w:p w:rsidR="007858DD" w:rsidRPr="008E1AAF" w:rsidRDefault="007858DD" w:rsidP="008E1AAF">
      <w:pPr>
        <w:rPr>
          <w:rFonts w:ascii="Times New Roman" w:hAnsi="Times New Roman"/>
          <w:color w:val="000000"/>
        </w:rPr>
      </w:pPr>
      <w:r w:rsidRPr="008E1AAF">
        <w:rPr>
          <w:rFonts w:ascii="Times New Roman" w:hAnsi="Times New Roman"/>
          <w:color w:val="000000"/>
        </w:rPr>
        <w:t> </w:t>
      </w:r>
    </w:p>
    <w:p w:rsidR="007858DD" w:rsidRPr="008E1AAF" w:rsidRDefault="007858DD" w:rsidP="008E1AAF">
      <w:pPr>
        <w:rPr>
          <w:rFonts w:ascii="Times New Roman" w:hAnsi="Times New Roman"/>
          <w:color w:val="000000"/>
        </w:rPr>
      </w:pPr>
      <w:r w:rsidRPr="008E1AAF">
        <w:rPr>
          <w:rFonts w:ascii="Times New Roman" w:hAnsi="Times New Roman"/>
          <w:color w:val="000000"/>
        </w:rPr>
        <w:t xml:space="preserve">The advisor’s professional judgment based on a well-developed prudent process alone must determine whether investment managers, mutual funds, custodians and other vendors are competent and reasonably priced. Consistent due care must be undertaken irrespective of any financial incentives favoring any investment or product recommendation. Due care separates fiduciary advisors from sales professionals, and entails more stringent responsibilities over and above what constitutes a suitable recommendation. This distinction between suitable recommendations required of brokers and the higher standard of fiduciary recommendations in the client’s best interest have been acknowledged by FINRA CEO, Richard Ketchum. </w:t>
      </w:r>
      <w:r w:rsidRPr="008E1AAF">
        <w:rPr>
          <w:rFonts w:ascii="Times New Roman" w:hAnsi="Times New Roman"/>
          <w:b/>
          <w:color w:val="000000"/>
          <w:sz w:val="16"/>
          <w:szCs w:val="16"/>
        </w:rPr>
        <w:t>11</w:t>
      </w: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color w:val="000000"/>
        </w:rPr>
      </w:pPr>
      <w:r w:rsidRPr="008E1AAF">
        <w:rPr>
          <w:rFonts w:ascii="Times New Roman" w:hAnsi="Times New Roman"/>
          <w:b/>
          <w:bCs/>
          <w:color w:val="000000"/>
        </w:rPr>
        <w:t>Six: Control Investment Expenses</w:t>
      </w:r>
    </w:p>
    <w:p w:rsidR="007858DD" w:rsidRPr="008E1AAF" w:rsidRDefault="007858DD" w:rsidP="008E1AAF">
      <w:pPr>
        <w:rPr>
          <w:rFonts w:ascii="Times New Roman" w:hAnsi="Times New Roman"/>
          <w:color w:val="000000"/>
        </w:rPr>
      </w:pPr>
      <w:r w:rsidRPr="008E1AAF">
        <w:rPr>
          <w:rFonts w:ascii="Times New Roman" w:hAnsi="Times New Roman"/>
          <w:color w:val="000000"/>
        </w:rPr>
        <w:t> </w:t>
      </w:r>
    </w:p>
    <w:p w:rsidR="007858DD" w:rsidRPr="008E1AAF" w:rsidRDefault="007858DD" w:rsidP="008E1AAF">
      <w:pPr>
        <w:rPr>
          <w:rFonts w:ascii="Times New Roman" w:hAnsi="Times New Roman"/>
          <w:color w:val="000000"/>
        </w:rPr>
      </w:pPr>
      <w:r w:rsidRPr="008E1AAF">
        <w:rPr>
          <w:rFonts w:ascii="Times New Roman" w:hAnsi="Times New Roman"/>
          <w:color w:val="000000"/>
        </w:rPr>
        <w:t>The duty to control investment expenses is inherent in the duty of loyalty. Recommendations with inappropriate or unnecessary expenses represent prima facie breeches of the duty of loyalty. Advisors are required to ensure that all vendor and investment expenses --- all fees, costs and expenses passed on to the investor -- are fair and reasonable in relation to the services and investments offered.  </w:t>
      </w:r>
    </w:p>
    <w:p w:rsidR="007858DD" w:rsidRPr="008E1AAF" w:rsidRDefault="007858DD" w:rsidP="008E1AAF">
      <w:pPr>
        <w:rPr>
          <w:rFonts w:ascii="Times New Roman" w:hAnsi="Times New Roman"/>
          <w:color w:val="000000"/>
        </w:rPr>
      </w:pPr>
      <w:r w:rsidRPr="008E1AAF">
        <w:rPr>
          <w:rFonts w:ascii="Times New Roman" w:hAnsi="Times New Roman"/>
          <w:color w:val="000000"/>
        </w:rPr>
        <w:t>  </w:t>
      </w: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b/>
          <w:color w:val="000000"/>
        </w:rPr>
      </w:pPr>
    </w:p>
    <w:p w:rsidR="007858DD" w:rsidRPr="008E1AAF" w:rsidRDefault="007858DD" w:rsidP="008E1AAF">
      <w:pPr>
        <w:rPr>
          <w:rFonts w:ascii="Times New Roman" w:hAnsi="Times New Roman"/>
          <w:b/>
          <w:color w:val="000000"/>
        </w:rPr>
      </w:pPr>
      <w:r w:rsidRPr="008E1AAF">
        <w:rPr>
          <w:rFonts w:ascii="Times New Roman" w:hAnsi="Times New Roman"/>
          <w:b/>
          <w:color w:val="000000"/>
        </w:rPr>
        <w:t>Conclusion</w:t>
      </w:r>
    </w:p>
    <w:p w:rsidR="007858DD" w:rsidRPr="008E1AAF" w:rsidRDefault="007858DD" w:rsidP="008E1AAF">
      <w:pPr>
        <w:rPr>
          <w:rFonts w:ascii="Times New Roman" w:hAnsi="Times New Roman"/>
          <w:color w:val="000000"/>
        </w:rPr>
      </w:pPr>
    </w:p>
    <w:p w:rsidR="007858DD" w:rsidRPr="00811C10" w:rsidRDefault="007858DD" w:rsidP="00811C10">
      <w:pPr>
        <w:autoSpaceDE w:val="0"/>
        <w:autoSpaceDN w:val="0"/>
        <w:adjustRightInd w:val="0"/>
        <w:rPr>
          <w:rFonts w:ascii="Times New Roman" w:hAnsi="Times New Roman"/>
        </w:rPr>
      </w:pPr>
      <w:r w:rsidRPr="00811C10">
        <w:rPr>
          <w:rFonts w:ascii="Times New Roman" w:hAnsi="Times New Roman"/>
        </w:rPr>
        <w:t>The Six Core Fiduc</w:t>
      </w:r>
      <w:r>
        <w:rPr>
          <w:rFonts w:ascii="Times New Roman" w:hAnsi="Times New Roman"/>
        </w:rPr>
        <w:t xml:space="preserve">iary Duties reflect </w:t>
      </w:r>
      <w:r w:rsidRPr="00811C10">
        <w:rPr>
          <w:rFonts w:ascii="Times New Roman" w:hAnsi="Times New Roman"/>
        </w:rPr>
        <w:t>principles that have served society for centuries. In recent times, the legislative history of the Advisers Act set out in the 193</w:t>
      </w:r>
      <w:r>
        <w:rPr>
          <w:rFonts w:ascii="Times New Roman" w:hAnsi="Times New Roman"/>
        </w:rPr>
        <w:t xml:space="preserve">0's underscored the </w:t>
      </w:r>
      <w:r w:rsidRPr="00811C10">
        <w:rPr>
          <w:rFonts w:ascii="Times New Roman" w:hAnsi="Times New Roman"/>
        </w:rPr>
        <w:t xml:space="preserve">need for fiduciary principles as the backbone of "competent, unbiased </w:t>
      </w:r>
      <w:r>
        <w:rPr>
          <w:rFonts w:ascii="Times New Roman" w:hAnsi="Times New Roman"/>
        </w:rPr>
        <w:t>and continuous advice." They echo in the SEC's practice today to urge advisor</w:t>
      </w:r>
      <w:r w:rsidRPr="00811C10">
        <w:rPr>
          <w:rFonts w:ascii="Times New Roman" w:hAnsi="Times New Roman"/>
        </w:rPr>
        <w:t>s to avoid conflicts of intere</w:t>
      </w:r>
      <w:r>
        <w:rPr>
          <w:rFonts w:ascii="Times New Roman" w:hAnsi="Times New Roman"/>
        </w:rPr>
        <w:t>st, and</w:t>
      </w:r>
      <w:r w:rsidRPr="00811C10">
        <w:rPr>
          <w:rFonts w:ascii="Times New Roman" w:hAnsi="Times New Roman"/>
        </w:rPr>
        <w:t xml:space="preserve"> </w:t>
      </w:r>
      <w:r>
        <w:rPr>
          <w:rFonts w:ascii="Times New Roman" w:hAnsi="Times New Roman"/>
        </w:rPr>
        <w:t xml:space="preserve">in </w:t>
      </w:r>
      <w:r w:rsidRPr="00811C10">
        <w:rPr>
          <w:rFonts w:ascii="Times New Roman" w:hAnsi="Times New Roman"/>
        </w:rPr>
        <w:t xml:space="preserve">a thoughtful speech by the </w:t>
      </w:r>
      <w:r>
        <w:rPr>
          <w:rFonts w:ascii="Times New Roman" w:hAnsi="Times New Roman"/>
        </w:rPr>
        <w:t>then SEC</w:t>
      </w:r>
      <w:r w:rsidRPr="00811C10">
        <w:rPr>
          <w:rFonts w:ascii="Times New Roman" w:hAnsi="Times New Roman"/>
        </w:rPr>
        <w:t xml:space="preserve"> Director, Office of Compliance and Inspections, Carlo V. De </w:t>
      </w:r>
      <w:r>
        <w:rPr>
          <w:rFonts w:ascii="Times New Roman" w:hAnsi="Times New Roman"/>
        </w:rPr>
        <w:t>Florio, in October 2012. De Florio called conflicts, "v</w:t>
      </w:r>
      <w:r w:rsidRPr="00811C10">
        <w:rPr>
          <w:rFonts w:ascii="Times New Roman" w:hAnsi="Times New Roman"/>
        </w:rPr>
        <w:t xml:space="preserve">iruses that threaten the organization's well being."      </w:t>
      </w:r>
    </w:p>
    <w:p w:rsidR="007858DD" w:rsidRPr="00811C10" w:rsidRDefault="007858DD" w:rsidP="00811C10">
      <w:pPr>
        <w:autoSpaceDE w:val="0"/>
        <w:autoSpaceDN w:val="0"/>
        <w:adjustRightInd w:val="0"/>
        <w:rPr>
          <w:rFonts w:ascii="Times New Roman" w:hAnsi="Times New Roman"/>
        </w:rPr>
      </w:pPr>
    </w:p>
    <w:p w:rsidR="007858DD" w:rsidRPr="00811C10" w:rsidRDefault="007858DD" w:rsidP="00811C10">
      <w:pPr>
        <w:autoSpaceDE w:val="0"/>
        <w:autoSpaceDN w:val="0"/>
        <w:adjustRightInd w:val="0"/>
        <w:rPr>
          <w:rFonts w:ascii="Times New Roman" w:hAnsi="Times New Roman"/>
        </w:rPr>
      </w:pPr>
      <w:r>
        <w:rPr>
          <w:rFonts w:ascii="Times New Roman" w:hAnsi="Times New Roman"/>
        </w:rPr>
        <w:t xml:space="preserve">The Duties </w:t>
      </w:r>
      <w:r w:rsidRPr="00811C10">
        <w:rPr>
          <w:rFonts w:ascii="Times New Roman" w:hAnsi="Times New Roman"/>
        </w:rPr>
        <w:t xml:space="preserve">are plainly evident through </w:t>
      </w:r>
      <w:r w:rsidRPr="0083417D">
        <w:rPr>
          <w:rFonts w:ascii="Times New Roman" w:hAnsi="Times New Roman"/>
          <w:i/>
        </w:rPr>
        <w:t>Hughes</w:t>
      </w:r>
      <w:r w:rsidRPr="00811C10">
        <w:rPr>
          <w:rFonts w:ascii="Times New Roman" w:hAnsi="Times New Roman"/>
        </w:rPr>
        <w:t>, an SEC opinion focused on the challenges created when an advisor puts herself in a conflicted position. Hughes tra</w:t>
      </w:r>
      <w:r>
        <w:rPr>
          <w:rFonts w:ascii="Times New Roman" w:hAnsi="Times New Roman"/>
        </w:rPr>
        <w:t xml:space="preserve">nscends legal nuances to focus on </w:t>
      </w:r>
      <w:r w:rsidRPr="00811C10">
        <w:rPr>
          <w:rFonts w:ascii="Times New Roman" w:hAnsi="Times New Roman"/>
        </w:rPr>
        <w:t>the core challenge of conflicted advice and the</w:t>
      </w:r>
      <w:r>
        <w:rPr>
          <w:rFonts w:ascii="Times New Roman" w:hAnsi="Times New Roman"/>
        </w:rPr>
        <w:t xml:space="preserve"> need for self-restraint. </w:t>
      </w:r>
      <w:r w:rsidRPr="0083417D">
        <w:rPr>
          <w:rFonts w:ascii="Times New Roman" w:hAnsi="Times New Roman"/>
          <w:i/>
        </w:rPr>
        <w:t>Hughes</w:t>
      </w:r>
      <w:r>
        <w:rPr>
          <w:rFonts w:ascii="Times New Roman" w:hAnsi="Times New Roman"/>
        </w:rPr>
        <w:t>’</w:t>
      </w:r>
      <w:r w:rsidRPr="00811C10">
        <w:rPr>
          <w:rFonts w:ascii="Times New Roman" w:hAnsi="Times New Roman"/>
        </w:rPr>
        <w:t xml:space="preserve"> vigor is </w:t>
      </w:r>
      <w:r>
        <w:rPr>
          <w:rFonts w:ascii="Times New Roman" w:hAnsi="Times New Roman"/>
        </w:rPr>
        <w:t>its clarity. It applies</w:t>
      </w:r>
      <w:r w:rsidRPr="00811C10">
        <w:rPr>
          <w:rFonts w:ascii="Times New Roman" w:hAnsi="Times New Roman"/>
        </w:rPr>
        <w:t xml:space="preserve"> </w:t>
      </w:r>
      <w:r>
        <w:rPr>
          <w:rFonts w:ascii="Times New Roman" w:hAnsi="Times New Roman"/>
        </w:rPr>
        <w:t>and expresses basic principles to</w:t>
      </w:r>
      <w:r w:rsidRPr="00811C10">
        <w:rPr>
          <w:rFonts w:ascii="Times New Roman" w:hAnsi="Times New Roman"/>
        </w:rPr>
        <w:t xml:space="preserve"> common </w:t>
      </w:r>
      <w:r>
        <w:rPr>
          <w:rFonts w:ascii="Times New Roman" w:hAnsi="Times New Roman"/>
        </w:rPr>
        <w:t>circumstances, and states clearly</w:t>
      </w:r>
      <w:r w:rsidRPr="00811C10">
        <w:rPr>
          <w:rFonts w:ascii="Times New Roman" w:hAnsi="Times New Roman"/>
        </w:rPr>
        <w:t xml:space="preserve"> what</w:t>
      </w:r>
      <w:r>
        <w:rPr>
          <w:rFonts w:ascii="Times New Roman" w:hAnsi="Times New Roman"/>
        </w:rPr>
        <w:t xml:space="preserve"> it means to be a fiduciary, </w:t>
      </w:r>
      <w:r w:rsidRPr="00811C10">
        <w:rPr>
          <w:rFonts w:ascii="Times New Roman" w:hAnsi="Times New Roman"/>
        </w:rPr>
        <w:t xml:space="preserve">to be held accountable. </w:t>
      </w:r>
    </w:p>
    <w:p w:rsidR="007858DD" w:rsidRPr="00811C10" w:rsidRDefault="007858DD" w:rsidP="00811C10">
      <w:pPr>
        <w:autoSpaceDE w:val="0"/>
        <w:autoSpaceDN w:val="0"/>
        <w:adjustRightInd w:val="0"/>
        <w:rPr>
          <w:rFonts w:ascii="Times New Roman" w:hAnsi="Times New Roman"/>
        </w:rPr>
      </w:pPr>
    </w:p>
    <w:p w:rsidR="007858DD" w:rsidRPr="00811C10" w:rsidRDefault="007858DD" w:rsidP="00811C10">
      <w:pPr>
        <w:autoSpaceDE w:val="0"/>
        <w:autoSpaceDN w:val="0"/>
        <w:adjustRightInd w:val="0"/>
        <w:rPr>
          <w:rFonts w:ascii="Times New Roman" w:hAnsi="Times New Roman"/>
        </w:rPr>
      </w:pPr>
      <w:r w:rsidRPr="00811C10">
        <w:rPr>
          <w:rFonts w:ascii="Times New Roman" w:hAnsi="Times New Roman"/>
        </w:rPr>
        <w:t>Take the circumstances a</w:t>
      </w:r>
      <w:r>
        <w:rPr>
          <w:rFonts w:ascii="Times New Roman" w:hAnsi="Times New Roman"/>
        </w:rPr>
        <w:t>round the nature of the advisor-</w:t>
      </w:r>
      <w:r w:rsidRPr="00811C10">
        <w:rPr>
          <w:rFonts w:ascii="Times New Roman" w:hAnsi="Times New Roman"/>
        </w:rPr>
        <w:t xml:space="preserve">client relationship. The SEC notes in </w:t>
      </w:r>
      <w:r w:rsidRPr="0083417D">
        <w:rPr>
          <w:rFonts w:ascii="Times New Roman" w:hAnsi="Times New Roman"/>
          <w:i/>
        </w:rPr>
        <w:t>Hughes</w:t>
      </w:r>
      <w:r w:rsidRPr="00811C10">
        <w:rPr>
          <w:rFonts w:ascii="Times New Roman" w:hAnsi="Times New Roman"/>
        </w:rPr>
        <w:t>, "Learning.. personal and intimate details of the financial affairs of clients and making recommendations as to purchases and sales of securities -- cultivates a confidential and intimate relationship and imposes a duty upon the registrant to act in the best interests of her clients."</w:t>
      </w:r>
    </w:p>
    <w:p w:rsidR="007858DD" w:rsidRPr="00811C10" w:rsidRDefault="007858DD" w:rsidP="00811C10">
      <w:pPr>
        <w:autoSpaceDE w:val="0"/>
        <w:autoSpaceDN w:val="0"/>
        <w:adjustRightInd w:val="0"/>
        <w:rPr>
          <w:rFonts w:ascii="Times New Roman" w:hAnsi="Times New Roman"/>
        </w:rPr>
      </w:pPr>
    </w:p>
    <w:p w:rsidR="007858DD" w:rsidRPr="00811C10" w:rsidRDefault="007858DD" w:rsidP="00811C10">
      <w:pPr>
        <w:autoSpaceDE w:val="0"/>
        <w:autoSpaceDN w:val="0"/>
        <w:adjustRightInd w:val="0"/>
        <w:rPr>
          <w:rFonts w:ascii="Times New Roman" w:hAnsi="Times New Roman"/>
        </w:rPr>
      </w:pPr>
      <w:r w:rsidRPr="00811C10">
        <w:rPr>
          <w:rFonts w:ascii="Times New Roman" w:hAnsi="Times New Roman"/>
        </w:rPr>
        <w:t>Or wh</w:t>
      </w:r>
      <w:r>
        <w:rPr>
          <w:rFonts w:ascii="Times New Roman" w:hAnsi="Times New Roman"/>
        </w:rPr>
        <w:t xml:space="preserve">at loyalty means. </w:t>
      </w:r>
      <w:r w:rsidRPr="00811C10">
        <w:rPr>
          <w:rFonts w:ascii="Times New Roman" w:hAnsi="Times New Roman"/>
        </w:rPr>
        <w:t>"Since loyalty to his trust is the first duty which a fiduciary owes to his principal, it is the general rule that a fiduciary must not put himself into a position where his own interests may come in conflict with those of his principal."</w:t>
      </w:r>
      <w:r>
        <w:rPr>
          <w:rFonts w:ascii="Times New Roman" w:hAnsi="Times New Roman"/>
        </w:rPr>
        <w:t xml:space="preserve"> </w:t>
      </w:r>
      <w:r w:rsidRPr="00811C10">
        <w:rPr>
          <w:rFonts w:ascii="Times New Roman" w:hAnsi="Times New Roman"/>
        </w:rPr>
        <w:t xml:space="preserve">And why </w:t>
      </w:r>
      <w:r>
        <w:rPr>
          <w:rFonts w:ascii="Times New Roman" w:hAnsi="Times New Roman"/>
        </w:rPr>
        <w:t xml:space="preserve">one must </w:t>
      </w:r>
      <w:r w:rsidRPr="00811C10">
        <w:rPr>
          <w:rFonts w:ascii="Times New Roman" w:hAnsi="Times New Roman"/>
        </w:rPr>
        <w:t>avoid "a conflicting po</w:t>
      </w:r>
      <w:r>
        <w:rPr>
          <w:rFonts w:ascii="Times New Roman" w:hAnsi="Times New Roman"/>
        </w:rPr>
        <w:t>sition.” To a</w:t>
      </w:r>
      <w:r w:rsidRPr="00811C10">
        <w:rPr>
          <w:rFonts w:ascii="Times New Roman" w:hAnsi="Times New Roman"/>
        </w:rPr>
        <w:t>void being, "Motivated to sell securities which may be most profitable to her a</w:t>
      </w:r>
      <w:r>
        <w:rPr>
          <w:rFonts w:ascii="Times New Roman" w:hAnsi="Times New Roman"/>
        </w:rPr>
        <w:t>nd in her own best interests ..</w:t>
      </w:r>
      <w:r w:rsidRPr="00811C10">
        <w:rPr>
          <w:rFonts w:ascii="Times New Roman" w:hAnsi="Times New Roman"/>
        </w:rPr>
        <w:t>"</w:t>
      </w:r>
    </w:p>
    <w:p w:rsidR="007858DD" w:rsidRPr="00811C10" w:rsidRDefault="007858DD" w:rsidP="00811C10">
      <w:pPr>
        <w:autoSpaceDE w:val="0"/>
        <w:autoSpaceDN w:val="0"/>
        <w:adjustRightInd w:val="0"/>
        <w:rPr>
          <w:rFonts w:ascii="Times New Roman" w:hAnsi="Times New Roman"/>
        </w:rPr>
      </w:pPr>
    </w:p>
    <w:p w:rsidR="007858DD" w:rsidRDefault="007858DD" w:rsidP="00811C10">
      <w:pPr>
        <w:autoSpaceDE w:val="0"/>
        <w:autoSpaceDN w:val="0"/>
        <w:adjustRightInd w:val="0"/>
        <w:rPr>
          <w:rFonts w:ascii="Times New Roman" w:hAnsi="Times New Roman"/>
        </w:rPr>
      </w:pPr>
      <w:r>
        <w:rPr>
          <w:rFonts w:ascii="Times New Roman" w:hAnsi="Times New Roman"/>
        </w:rPr>
        <w:t>This c</w:t>
      </w:r>
      <w:r w:rsidRPr="00811C10">
        <w:rPr>
          <w:rFonts w:ascii="Times New Roman" w:hAnsi="Times New Roman"/>
        </w:rPr>
        <w:t xml:space="preserve">ommon sense in plain </w:t>
      </w:r>
      <w:r>
        <w:rPr>
          <w:rFonts w:ascii="Times New Roman" w:hAnsi="Times New Roman"/>
        </w:rPr>
        <w:t>language pervades</w:t>
      </w:r>
      <w:r w:rsidRPr="00811C10">
        <w:rPr>
          <w:rFonts w:ascii="Times New Roman" w:hAnsi="Times New Roman"/>
        </w:rPr>
        <w:t xml:space="preserve"> </w:t>
      </w:r>
      <w:r w:rsidRPr="0083417D">
        <w:rPr>
          <w:rFonts w:ascii="Times New Roman" w:hAnsi="Times New Roman"/>
          <w:i/>
        </w:rPr>
        <w:t>Hughes</w:t>
      </w:r>
      <w:r w:rsidRPr="00811C10">
        <w:rPr>
          <w:rFonts w:ascii="Times New Roman" w:hAnsi="Times New Roman"/>
        </w:rPr>
        <w:t>, and help</w:t>
      </w:r>
      <w:r>
        <w:rPr>
          <w:rFonts w:ascii="Times New Roman" w:hAnsi="Times New Roman"/>
        </w:rPr>
        <w:t>s</w:t>
      </w:r>
      <w:r w:rsidRPr="00811C10">
        <w:rPr>
          <w:rFonts w:ascii="Times New Roman" w:hAnsi="Times New Roman"/>
        </w:rPr>
        <w:t xml:space="preserve"> illuminate four points at the center of today's discussion </w:t>
      </w:r>
      <w:r>
        <w:rPr>
          <w:rFonts w:ascii="Times New Roman" w:hAnsi="Times New Roman"/>
        </w:rPr>
        <w:t xml:space="preserve">of the Advisers Act </w:t>
      </w:r>
      <w:r w:rsidRPr="00811C10">
        <w:rPr>
          <w:rFonts w:ascii="Times New Roman" w:hAnsi="Times New Roman"/>
        </w:rPr>
        <w:t>and a potential "uni</w:t>
      </w:r>
      <w:r>
        <w:rPr>
          <w:rFonts w:ascii="Times New Roman" w:hAnsi="Times New Roman"/>
        </w:rPr>
        <w:t>form" fiduciary standard</w:t>
      </w:r>
      <w:r w:rsidRPr="00811C10">
        <w:rPr>
          <w:rFonts w:ascii="Times New Roman" w:hAnsi="Times New Roman"/>
        </w:rPr>
        <w:t xml:space="preserve">: </w:t>
      </w:r>
    </w:p>
    <w:p w:rsidR="007858DD" w:rsidRDefault="007858DD" w:rsidP="00811C10">
      <w:pPr>
        <w:autoSpaceDE w:val="0"/>
        <w:autoSpaceDN w:val="0"/>
        <w:adjustRightInd w:val="0"/>
        <w:rPr>
          <w:rFonts w:ascii="Times New Roman" w:hAnsi="Times New Roman"/>
        </w:rPr>
      </w:pPr>
    </w:p>
    <w:p w:rsidR="007858DD" w:rsidRDefault="007858DD" w:rsidP="0065758A">
      <w:pPr>
        <w:numPr>
          <w:ilvl w:val="0"/>
          <w:numId w:val="9"/>
        </w:numPr>
        <w:autoSpaceDE w:val="0"/>
        <w:autoSpaceDN w:val="0"/>
        <w:adjustRightInd w:val="0"/>
        <w:rPr>
          <w:rFonts w:ascii="Times New Roman" w:hAnsi="Times New Roman"/>
        </w:rPr>
      </w:pPr>
      <w:r w:rsidRPr="00811C10">
        <w:rPr>
          <w:rFonts w:ascii="Times New Roman" w:hAnsi="Times New Roman"/>
        </w:rPr>
        <w:t xml:space="preserve">the core nature of an advisors/client relationship of trust and confidence; </w:t>
      </w:r>
    </w:p>
    <w:p w:rsidR="007858DD" w:rsidRDefault="007858DD" w:rsidP="0065758A">
      <w:pPr>
        <w:numPr>
          <w:ilvl w:val="0"/>
          <w:numId w:val="9"/>
        </w:numPr>
        <w:autoSpaceDE w:val="0"/>
        <w:autoSpaceDN w:val="0"/>
        <w:adjustRightInd w:val="0"/>
        <w:rPr>
          <w:rFonts w:ascii="Times New Roman" w:hAnsi="Times New Roman"/>
        </w:rPr>
      </w:pPr>
      <w:r>
        <w:rPr>
          <w:rFonts w:ascii="Times New Roman" w:hAnsi="Times New Roman"/>
        </w:rPr>
        <w:t xml:space="preserve">the </w:t>
      </w:r>
      <w:r w:rsidRPr="00811C10">
        <w:rPr>
          <w:rFonts w:ascii="Times New Roman" w:hAnsi="Times New Roman"/>
        </w:rPr>
        <w:t xml:space="preserve">incompatibility between loyalty and conflicts of interest; </w:t>
      </w:r>
    </w:p>
    <w:p w:rsidR="007858DD" w:rsidRDefault="007858DD" w:rsidP="0065758A">
      <w:pPr>
        <w:numPr>
          <w:ilvl w:val="0"/>
          <w:numId w:val="9"/>
        </w:numPr>
        <w:autoSpaceDE w:val="0"/>
        <w:autoSpaceDN w:val="0"/>
        <w:adjustRightInd w:val="0"/>
        <w:rPr>
          <w:rFonts w:ascii="Times New Roman" w:hAnsi="Times New Roman"/>
        </w:rPr>
      </w:pPr>
      <w:r w:rsidRPr="00811C10">
        <w:rPr>
          <w:rFonts w:ascii="Times New Roman" w:hAnsi="Times New Roman"/>
        </w:rPr>
        <w:t xml:space="preserve">the regulatory burden placed on a fiduciary advisor who chooses to align with material conflicts of interest; </w:t>
      </w:r>
      <w:r>
        <w:rPr>
          <w:rFonts w:ascii="Times New Roman" w:hAnsi="Times New Roman"/>
        </w:rPr>
        <w:t>and</w:t>
      </w:r>
    </w:p>
    <w:p w:rsidR="007858DD" w:rsidRPr="00811C10" w:rsidRDefault="007858DD" w:rsidP="0065758A">
      <w:pPr>
        <w:numPr>
          <w:ilvl w:val="0"/>
          <w:numId w:val="9"/>
        </w:numPr>
        <w:autoSpaceDE w:val="0"/>
        <w:autoSpaceDN w:val="0"/>
        <w:adjustRightInd w:val="0"/>
        <w:rPr>
          <w:rFonts w:ascii="Times New Roman" w:hAnsi="Times New Roman"/>
        </w:rPr>
      </w:pPr>
      <w:r>
        <w:rPr>
          <w:rFonts w:ascii="Times New Roman" w:hAnsi="Times New Roman"/>
        </w:rPr>
        <w:t>the advisor's responsibility to make sure the client understands the conflict</w:t>
      </w:r>
      <w:r w:rsidRPr="00811C10">
        <w:rPr>
          <w:rFonts w:ascii="Times New Roman" w:hAnsi="Times New Roman"/>
        </w:rPr>
        <w:t xml:space="preserve">. </w:t>
      </w:r>
    </w:p>
    <w:p w:rsidR="007858DD" w:rsidRPr="00811C10" w:rsidRDefault="007858DD" w:rsidP="00811C10">
      <w:pPr>
        <w:autoSpaceDE w:val="0"/>
        <w:autoSpaceDN w:val="0"/>
        <w:adjustRightInd w:val="0"/>
        <w:rPr>
          <w:rFonts w:ascii="Times New Roman" w:hAnsi="Times New Roman"/>
        </w:rPr>
      </w:pPr>
    </w:p>
    <w:p w:rsidR="007858DD" w:rsidRPr="00811C10" w:rsidRDefault="007858DD" w:rsidP="00811C10">
      <w:pPr>
        <w:autoSpaceDE w:val="0"/>
        <w:autoSpaceDN w:val="0"/>
        <w:adjustRightInd w:val="0"/>
        <w:rPr>
          <w:rFonts w:ascii="Times New Roman" w:hAnsi="Times New Roman"/>
        </w:rPr>
      </w:pPr>
      <w:r w:rsidRPr="0083417D">
        <w:rPr>
          <w:rFonts w:ascii="Times New Roman" w:hAnsi="Times New Roman"/>
          <w:i/>
        </w:rPr>
        <w:t>Hughes</w:t>
      </w:r>
      <w:r w:rsidRPr="00811C10">
        <w:rPr>
          <w:rFonts w:ascii="Times New Roman" w:hAnsi="Times New Roman"/>
        </w:rPr>
        <w:t xml:space="preserve"> articulation of the meaning of fiduciary d</w:t>
      </w:r>
      <w:r>
        <w:rPr>
          <w:rFonts w:ascii="Times New Roman" w:hAnsi="Times New Roman"/>
        </w:rPr>
        <w:t>oes not presume regulation alone is</w:t>
      </w:r>
      <w:r w:rsidRPr="00811C10">
        <w:rPr>
          <w:rFonts w:ascii="Times New Roman" w:hAnsi="Times New Roman"/>
        </w:rPr>
        <w:t xml:space="preserve"> at issue. "Choice," the advisor's freedom to</w:t>
      </w:r>
      <w:r>
        <w:rPr>
          <w:rFonts w:ascii="Times New Roman" w:hAnsi="Times New Roman"/>
        </w:rPr>
        <w:t xml:space="preserve"> choose is </w:t>
      </w:r>
      <w:r w:rsidRPr="00811C10">
        <w:rPr>
          <w:rFonts w:ascii="Times New Roman" w:hAnsi="Times New Roman"/>
        </w:rPr>
        <w:t>paramount. The opinion speaks of the advisor's "free choice" either to avoid or to not avoid conflicts. And if the advisor "chooses to assume a role where she is motivated by conflicting interests," she then accepts the additional responsibilities implicit in that role. To exercise self-restrai</w:t>
      </w:r>
      <w:r>
        <w:rPr>
          <w:rFonts w:ascii="Times New Roman" w:hAnsi="Times New Roman"/>
        </w:rPr>
        <w:t xml:space="preserve">nt -- or to not -- is the </w:t>
      </w:r>
      <w:r w:rsidRPr="00811C10">
        <w:rPr>
          <w:rFonts w:ascii="Times New Roman" w:hAnsi="Times New Roman"/>
        </w:rPr>
        <w:t xml:space="preserve">choice at hand.       </w:t>
      </w:r>
    </w:p>
    <w:p w:rsidR="007858DD" w:rsidRPr="00811C10" w:rsidRDefault="007858DD" w:rsidP="00811C10">
      <w:pPr>
        <w:autoSpaceDE w:val="0"/>
        <w:autoSpaceDN w:val="0"/>
        <w:adjustRightInd w:val="0"/>
        <w:rPr>
          <w:rFonts w:ascii="Times New Roman" w:hAnsi="Times New Roman"/>
        </w:rPr>
      </w:pPr>
      <w:r w:rsidRPr="00811C10">
        <w:rPr>
          <w:rFonts w:ascii="Times New Roman" w:hAnsi="Times New Roman"/>
        </w:rPr>
        <w:t xml:space="preserve">  </w:t>
      </w:r>
    </w:p>
    <w:p w:rsidR="007858DD" w:rsidRPr="00811C10" w:rsidRDefault="007858DD" w:rsidP="00811C10">
      <w:pPr>
        <w:autoSpaceDE w:val="0"/>
        <w:autoSpaceDN w:val="0"/>
        <w:adjustRightInd w:val="0"/>
        <w:rPr>
          <w:rFonts w:ascii="Times New Roman" w:hAnsi="Times New Roman"/>
        </w:rPr>
      </w:pPr>
      <w:r w:rsidRPr="00811C10">
        <w:rPr>
          <w:rFonts w:ascii="Times New Roman" w:hAnsi="Times New Roman"/>
        </w:rPr>
        <w:t>The case for fiduciary principles indispensable role runs through history. The SEC in</w:t>
      </w:r>
      <w:r w:rsidRPr="00F021E3">
        <w:rPr>
          <w:rFonts w:ascii="Times New Roman" w:hAnsi="Times New Roman"/>
          <w:i/>
        </w:rPr>
        <w:t xml:space="preserve"> Hughes</w:t>
      </w:r>
      <w:r w:rsidRPr="00811C10">
        <w:rPr>
          <w:rFonts w:ascii="Times New Roman" w:hAnsi="Times New Roman"/>
        </w:rPr>
        <w:t xml:space="preserve"> parallels and amplifies this </w:t>
      </w:r>
      <w:r>
        <w:rPr>
          <w:rFonts w:ascii="Times New Roman" w:hAnsi="Times New Roman"/>
        </w:rPr>
        <w:t>case</w:t>
      </w:r>
      <w:r w:rsidRPr="00811C10">
        <w:rPr>
          <w:rFonts w:ascii="Times New Roman" w:hAnsi="Times New Roman"/>
        </w:rPr>
        <w:t>. The logic, tone and text</w:t>
      </w:r>
      <w:r>
        <w:rPr>
          <w:rFonts w:ascii="Times New Roman" w:hAnsi="Times New Roman"/>
        </w:rPr>
        <w:t xml:space="preserve">ure of the discussion </w:t>
      </w:r>
      <w:r w:rsidRPr="00811C10">
        <w:rPr>
          <w:rFonts w:ascii="Times New Roman" w:hAnsi="Times New Roman"/>
        </w:rPr>
        <w:t>in</w:t>
      </w:r>
      <w:r w:rsidRPr="00F021E3">
        <w:rPr>
          <w:rFonts w:ascii="Times New Roman" w:hAnsi="Times New Roman"/>
          <w:i/>
        </w:rPr>
        <w:t xml:space="preserve"> Hughes</w:t>
      </w:r>
      <w:r w:rsidRPr="00811C10">
        <w:rPr>
          <w:rFonts w:ascii="Times New Roman" w:hAnsi="Times New Roman"/>
        </w:rPr>
        <w:t xml:space="preserve"> </w:t>
      </w:r>
      <w:r>
        <w:rPr>
          <w:rFonts w:ascii="Times New Roman" w:hAnsi="Times New Roman"/>
        </w:rPr>
        <w:t xml:space="preserve">describes </w:t>
      </w:r>
      <w:r w:rsidRPr="00811C10">
        <w:rPr>
          <w:rFonts w:ascii="Times New Roman" w:hAnsi="Times New Roman"/>
        </w:rPr>
        <w:t xml:space="preserve">what it means to be a fiduciary, </w:t>
      </w:r>
      <w:r>
        <w:rPr>
          <w:rFonts w:ascii="Times New Roman" w:hAnsi="Times New Roman"/>
        </w:rPr>
        <w:t>in practical terms in a manner that is meaning</w:t>
      </w:r>
      <w:r w:rsidRPr="00811C10">
        <w:rPr>
          <w:rFonts w:ascii="Times New Roman" w:hAnsi="Times New Roman"/>
        </w:rPr>
        <w:t xml:space="preserve">ful to regulators, the profession and individual fiduciaries alike. It deserves close attention.  </w:t>
      </w:r>
    </w:p>
    <w:p w:rsidR="007858DD" w:rsidRPr="0083417D" w:rsidRDefault="007858DD" w:rsidP="008E1AAF">
      <w:pPr>
        <w:rPr>
          <w:rFonts w:ascii="Times New Roman" w:hAnsi="Times New Roman"/>
          <w:b/>
          <w:color w:val="000000"/>
        </w:rPr>
      </w:pPr>
      <w:r w:rsidRPr="0083417D">
        <w:rPr>
          <w:rFonts w:ascii="Times New Roman" w:hAnsi="Times New Roman"/>
          <w:b/>
          <w:color w:val="000000"/>
        </w:rPr>
        <w:t>NOTES</w:t>
      </w:r>
    </w:p>
    <w:p w:rsidR="007858DD" w:rsidRPr="008E1AAF" w:rsidRDefault="007858DD" w:rsidP="008E1AAF">
      <w:pPr>
        <w:rPr>
          <w:rFonts w:ascii="Times New Roman" w:hAnsi="Times New Roman"/>
        </w:rPr>
      </w:pPr>
    </w:p>
    <w:p w:rsidR="007858DD" w:rsidRPr="008E1AAF" w:rsidRDefault="007858DD" w:rsidP="008E1AAF">
      <w:pPr>
        <w:numPr>
          <w:ilvl w:val="0"/>
          <w:numId w:val="7"/>
        </w:numPr>
        <w:rPr>
          <w:rFonts w:ascii="Times New Roman" w:hAnsi="Times New Roman"/>
        </w:rPr>
      </w:pPr>
      <w:r w:rsidRPr="008E1AAF">
        <w:rPr>
          <w:rFonts w:ascii="Times New Roman" w:hAnsi="Times New Roman"/>
        </w:rPr>
        <w:t>For a discussion of the rationale for fiduciary law, see “Fiduciary Duties of Brokers-Advisers- Financial Planners and Money Managers,” Tamar Frankel</w:t>
      </w:r>
    </w:p>
    <w:p w:rsidR="007858DD" w:rsidRPr="008E1AAF" w:rsidRDefault="007858DD" w:rsidP="008E1AAF">
      <w:pPr>
        <w:ind w:left="720"/>
        <w:rPr>
          <w:rFonts w:ascii="Times New Roman" w:hAnsi="Times New Roman"/>
        </w:rPr>
      </w:pPr>
      <w:hyperlink r:id="rId8" w:history="1">
        <w:r w:rsidRPr="008E1AAF">
          <w:rPr>
            <w:rStyle w:val="Hyperlink"/>
            <w:rFonts w:ascii="Times New Roman" w:hAnsi="Times New Roman"/>
          </w:rPr>
          <w:t>http://www.bu.edu/law/faculty/scholarship/workingpapers/documents/FrankelT101009Revsep2010.pdf</w:t>
        </w:r>
      </w:hyperlink>
    </w:p>
    <w:p w:rsidR="007858DD" w:rsidRPr="008E1AAF" w:rsidRDefault="007858DD" w:rsidP="008E1AAF">
      <w:pPr>
        <w:pStyle w:val="Default"/>
        <w:ind w:left="360"/>
      </w:pPr>
    </w:p>
    <w:p w:rsidR="007858DD" w:rsidRPr="008E1AAF" w:rsidRDefault="007858DD" w:rsidP="008E1AAF">
      <w:pPr>
        <w:pStyle w:val="Default"/>
        <w:numPr>
          <w:ilvl w:val="0"/>
          <w:numId w:val="7"/>
        </w:numPr>
      </w:pPr>
      <w:r w:rsidRPr="008E1AAF">
        <w:t xml:space="preserve">SECURITIES AND EXCHANGE COMMISSION </w:t>
      </w:r>
    </w:p>
    <w:p w:rsidR="007858DD" w:rsidRPr="008E1AAF" w:rsidRDefault="007858DD" w:rsidP="008E1AAF">
      <w:pPr>
        <w:pStyle w:val="Default"/>
        <w:ind w:left="360" w:firstLine="360"/>
      </w:pPr>
      <w:r w:rsidRPr="008E1AAF">
        <w:t xml:space="preserve">SECURITIES EXCHANGE ACT OF 1934 </w:t>
      </w:r>
    </w:p>
    <w:p w:rsidR="007858DD" w:rsidRPr="008E1AAF" w:rsidRDefault="007858DD" w:rsidP="008E1AAF">
      <w:pPr>
        <w:pStyle w:val="Default"/>
        <w:ind w:firstLine="720"/>
      </w:pPr>
      <w:r w:rsidRPr="008E1AAF">
        <w:t xml:space="preserve">Release No. 4048/February 18, 1948 </w:t>
      </w:r>
    </w:p>
    <w:p w:rsidR="007858DD" w:rsidRPr="008E1AAF" w:rsidRDefault="007858DD" w:rsidP="008E1AAF">
      <w:pPr>
        <w:pStyle w:val="Default"/>
        <w:ind w:left="720"/>
      </w:pPr>
      <w:r w:rsidRPr="008E1AAF">
        <w:t xml:space="preserve">In the Matter of: ARLEEN W. HUGHES doing business as E.W.HUGHES &amp; COMPANY, 515 Exchange National Bank Building, Colorado Springs, Colorado </w:t>
      </w:r>
    </w:p>
    <w:p w:rsidR="007858DD" w:rsidRPr="008E1AAF" w:rsidRDefault="007858DD" w:rsidP="008E1AAF">
      <w:pPr>
        <w:pStyle w:val="Default"/>
        <w:rPr>
          <w:b/>
          <w:bCs/>
          <w:i/>
        </w:rPr>
      </w:pPr>
    </w:p>
    <w:p w:rsidR="007858DD" w:rsidRPr="008E1AAF" w:rsidRDefault="007858DD" w:rsidP="008E1AAF">
      <w:pPr>
        <w:pStyle w:val="Default"/>
        <w:ind w:firstLine="720"/>
        <w:rPr>
          <w:i/>
        </w:rPr>
      </w:pPr>
      <w:r w:rsidRPr="008E1AAF">
        <w:rPr>
          <w:b/>
          <w:bCs/>
          <w:i/>
        </w:rPr>
        <w:t xml:space="preserve">BROKER-DEALER REGISTRATION </w:t>
      </w:r>
    </w:p>
    <w:p w:rsidR="007858DD" w:rsidRPr="008E1AAF" w:rsidRDefault="007858DD" w:rsidP="008E1AAF">
      <w:pPr>
        <w:pStyle w:val="Default"/>
        <w:ind w:firstLine="720"/>
        <w:rPr>
          <w:i/>
        </w:rPr>
      </w:pPr>
      <w:r w:rsidRPr="008E1AAF">
        <w:rPr>
          <w:i/>
        </w:rPr>
        <w:t xml:space="preserve">Grounds for Revocation or Suspension </w:t>
      </w:r>
    </w:p>
    <w:p w:rsidR="007858DD" w:rsidRPr="008E1AAF" w:rsidRDefault="007858DD" w:rsidP="008E1AAF">
      <w:pPr>
        <w:pStyle w:val="Default"/>
        <w:ind w:firstLine="720"/>
        <w:rPr>
          <w:i/>
        </w:rPr>
      </w:pPr>
      <w:r w:rsidRPr="008E1AAF">
        <w:rPr>
          <w:i/>
          <w:u w:val="single"/>
        </w:rPr>
        <w:t xml:space="preserve">Failure to Make Full Disclosure </w:t>
      </w:r>
    </w:p>
    <w:p w:rsidR="007858DD" w:rsidRPr="008E1AAF" w:rsidRDefault="007858DD" w:rsidP="008E1AAF">
      <w:pPr>
        <w:pStyle w:val="Default"/>
        <w:rPr>
          <w:i/>
        </w:rPr>
      </w:pPr>
    </w:p>
    <w:p w:rsidR="007858DD" w:rsidRPr="008E1AAF" w:rsidRDefault="007858DD" w:rsidP="008E1AAF">
      <w:pPr>
        <w:pStyle w:val="Default"/>
        <w:ind w:left="720"/>
        <w:rPr>
          <w:i/>
        </w:rPr>
      </w:pPr>
      <w:r w:rsidRPr="008E1AAF">
        <w:rPr>
          <w:i/>
        </w:rPr>
        <w:t>Where registered broker-dealer, who is also a registered investment adviser, sells her own securities to clients to whom she purportedly renders impartial investment advice and fails to disclose fully to such clients the nature and extent of her adverse interest, including her cost of the securities and the best price at which the security might be purchased in the open market, held, willful violation of the anti-fraud provisions of the Securities Act of 1933 and the Securities Exchange Act of 1934. ……</w:t>
      </w:r>
    </w:p>
    <w:p w:rsidR="007858DD" w:rsidRPr="008E1AAF" w:rsidRDefault="007858DD" w:rsidP="008E1AAF">
      <w:pPr>
        <w:pStyle w:val="Default"/>
        <w:rPr>
          <w:i/>
        </w:rPr>
      </w:pPr>
    </w:p>
    <w:p w:rsidR="007858DD" w:rsidRPr="008E1AAF" w:rsidRDefault="007858DD" w:rsidP="008E1AAF">
      <w:pPr>
        <w:pStyle w:val="Default"/>
        <w:ind w:left="720"/>
        <w:rPr>
          <w:i/>
        </w:rPr>
      </w:pPr>
      <w:r w:rsidRPr="008E1AAF">
        <w:rPr>
          <w:i/>
        </w:rPr>
        <w:t xml:space="preserve">Generally, the registrant handles a client's entire account, advises the client with respect to an investment program, and, from time to time, recommends the purchase or sale of particular securities on the basis of information which she collects and analyzes. When recommending a particular security as a suitable investment, registrant furnishes her clients detailed information covering the business and financial data of the issuer and informs them as to the approximate price the securities will cost them. The client usually gives the registrant leeway up to a point or so from the approximate price. Where the actual price would exceed this margin of a point or so, registrant re-consults the client. Registrant's clients invariably follow her advice. </w:t>
      </w:r>
    </w:p>
    <w:p w:rsidR="007858DD" w:rsidRPr="008E1AAF" w:rsidRDefault="007858DD" w:rsidP="008E1AAF">
      <w:pPr>
        <w:pStyle w:val="Default"/>
        <w:rPr>
          <w:i/>
        </w:rPr>
      </w:pPr>
    </w:p>
    <w:p w:rsidR="007858DD" w:rsidRPr="008E1AAF" w:rsidRDefault="007858DD" w:rsidP="008E1AAF">
      <w:pPr>
        <w:pStyle w:val="Default"/>
        <w:ind w:firstLine="720"/>
        <w:rPr>
          <w:i/>
        </w:rPr>
      </w:pPr>
      <w:r w:rsidRPr="008E1AAF">
        <w:rPr>
          <w:i/>
        </w:rPr>
        <w:t xml:space="preserve">In filling a client's order for the purchase of a security, registrant either supplies the </w:t>
      </w:r>
    </w:p>
    <w:p w:rsidR="007858DD" w:rsidRPr="008E1AAF" w:rsidRDefault="007858DD" w:rsidP="008E1AAF">
      <w:pPr>
        <w:pStyle w:val="Default"/>
        <w:ind w:firstLine="720"/>
        <w:rPr>
          <w:i/>
        </w:rPr>
      </w:pPr>
      <w:r w:rsidRPr="008E1AAF">
        <w:rPr>
          <w:i/>
        </w:rPr>
        <w:t xml:space="preserve">security from inventory or purchases the security “for her own account” and then as </w:t>
      </w:r>
    </w:p>
    <w:p w:rsidR="007858DD" w:rsidRPr="008E1AAF" w:rsidRDefault="007858DD" w:rsidP="008E1AAF">
      <w:pPr>
        <w:pStyle w:val="Default"/>
        <w:ind w:firstLine="720"/>
        <w:rPr>
          <w:i/>
        </w:rPr>
      </w:pPr>
      <w:r w:rsidRPr="008E1AAF">
        <w:rPr>
          <w:i/>
        </w:rPr>
        <w:t>“principal” confirms the sale to the client. …..</w:t>
      </w:r>
    </w:p>
    <w:p w:rsidR="007858DD" w:rsidRPr="008E1AAF" w:rsidRDefault="007858DD" w:rsidP="008E1AAF">
      <w:pPr>
        <w:pStyle w:val="Default"/>
        <w:rPr>
          <w:i/>
        </w:rPr>
      </w:pPr>
    </w:p>
    <w:p w:rsidR="007858DD" w:rsidRPr="008E1AAF" w:rsidRDefault="007858DD" w:rsidP="008E1AAF">
      <w:pPr>
        <w:pStyle w:val="Default"/>
        <w:ind w:left="720"/>
        <w:rPr>
          <w:i/>
        </w:rPr>
      </w:pPr>
      <w:r w:rsidRPr="008E1AAF">
        <w:rPr>
          <w:i/>
        </w:rPr>
        <w:t>Unless the client specifically requests the information, the registrant does not at any time disclose the current bid and asked quotations or her own cost of the securities she recommends and sells to the client. Nor does she advise the client whether the securities are supplied from inventory or from a purchase made by her to cover the client's order. Registrant uses the mails and instrumentalities of interstate commerce in the sale of these securities. (p. 1 – 5)</w:t>
      </w:r>
    </w:p>
    <w:p w:rsidR="007858DD" w:rsidRPr="008E1AAF" w:rsidRDefault="007858DD" w:rsidP="008E1AAF">
      <w:pPr>
        <w:rPr>
          <w:rFonts w:ascii="Times New Roman" w:hAnsi="Times New Roman"/>
        </w:rPr>
      </w:pPr>
    </w:p>
    <w:p w:rsidR="007858DD" w:rsidRPr="008E1AAF" w:rsidRDefault="007858DD" w:rsidP="008E1AAF">
      <w:pPr>
        <w:rPr>
          <w:rFonts w:ascii="Times New Roman" w:hAnsi="Times New Roman"/>
        </w:rPr>
      </w:pPr>
      <w:r w:rsidRPr="008E1AAF">
        <w:rPr>
          <w:rFonts w:ascii="Times New Roman" w:hAnsi="Times New Roman"/>
        </w:rPr>
        <w:tab/>
        <w:t xml:space="preserve">(NOTE: While a long standing case, Hughes continues to be cited by the SEC. This point </w:t>
      </w:r>
    </w:p>
    <w:p w:rsidR="007858DD" w:rsidRPr="008E1AAF" w:rsidRDefault="007858DD" w:rsidP="008E1AAF">
      <w:pPr>
        <w:ind w:firstLine="720"/>
        <w:rPr>
          <w:rFonts w:ascii="Times New Roman" w:hAnsi="Times New Roman"/>
        </w:rPr>
      </w:pPr>
      <w:r w:rsidRPr="008E1AAF">
        <w:rPr>
          <w:rFonts w:ascii="Times New Roman" w:hAnsi="Times New Roman"/>
        </w:rPr>
        <w:t xml:space="preserve">was noted, recently by Melissa A. Roverts, SEC Branch Chief, Office of Investment </w:t>
      </w:r>
    </w:p>
    <w:p w:rsidR="007858DD" w:rsidRPr="008E1AAF" w:rsidRDefault="007858DD" w:rsidP="008E1AAF">
      <w:pPr>
        <w:ind w:firstLine="720"/>
        <w:rPr>
          <w:rFonts w:ascii="Times New Roman" w:hAnsi="Times New Roman"/>
        </w:rPr>
      </w:pPr>
      <w:r w:rsidRPr="008E1AAF">
        <w:rPr>
          <w:rFonts w:ascii="Times New Roman" w:hAnsi="Times New Roman"/>
        </w:rPr>
        <w:t xml:space="preserve">Adviser Regulation at the Investment Adviser Association Compliance Conference, </w:t>
      </w:r>
    </w:p>
    <w:p w:rsidR="007858DD" w:rsidRPr="008E1AAF" w:rsidRDefault="007858DD" w:rsidP="008E1AAF">
      <w:pPr>
        <w:ind w:firstLine="720"/>
        <w:rPr>
          <w:rFonts w:ascii="Times New Roman" w:hAnsi="Times New Roman"/>
        </w:rPr>
      </w:pPr>
      <w:r w:rsidRPr="008E1AAF">
        <w:rPr>
          <w:rFonts w:ascii="Times New Roman" w:hAnsi="Times New Roman"/>
        </w:rPr>
        <w:t xml:space="preserve">March 7, 2013.) </w:t>
      </w:r>
    </w:p>
    <w:p w:rsidR="007858DD" w:rsidRPr="008E1AAF" w:rsidRDefault="007858DD" w:rsidP="008E1AAF">
      <w:pPr>
        <w:rPr>
          <w:rFonts w:ascii="Times New Roman" w:hAnsi="Times New Roman"/>
        </w:rPr>
      </w:pPr>
    </w:p>
    <w:p w:rsidR="007858DD" w:rsidRPr="008E1AAF" w:rsidRDefault="007858DD" w:rsidP="008E1AAF">
      <w:pPr>
        <w:numPr>
          <w:ilvl w:val="0"/>
          <w:numId w:val="7"/>
        </w:numPr>
        <w:rPr>
          <w:rFonts w:ascii="Times New Roman" w:hAnsi="Times New Roman"/>
        </w:rPr>
      </w:pPr>
      <w:r w:rsidRPr="008E1AAF">
        <w:rPr>
          <w:rFonts w:ascii="Times New Roman" w:hAnsi="Times New Roman"/>
        </w:rPr>
        <w:t xml:space="preserve">For a general discussion of the role of the fiduciary from an historic perspective see, </w:t>
      </w:r>
    </w:p>
    <w:p w:rsidR="007858DD" w:rsidRPr="008E1AAF" w:rsidRDefault="007858DD" w:rsidP="008E1AAF">
      <w:pPr>
        <w:ind w:left="360" w:firstLine="360"/>
        <w:rPr>
          <w:rFonts w:ascii="Times New Roman" w:hAnsi="Times New Roman"/>
        </w:rPr>
      </w:pPr>
      <w:r w:rsidRPr="008E1AAF">
        <w:rPr>
          <w:rFonts w:ascii="Times New Roman" w:hAnsi="Times New Roman"/>
        </w:rPr>
        <w:t xml:space="preserve">Blaine F. Aikin, Kristina A. Fausti, “Fiduciary: A Historically Significant Standard.” </w:t>
      </w:r>
    </w:p>
    <w:p w:rsidR="007858DD" w:rsidRPr="008E1AAF" w:rsidRDefault="007858DD" w:rsidP="008E1AAF">
      <w:pPr>
        <w:ind w:left="720"/>
        <w:rPr>
          <w:rFonts w:ascii="Times New Roman" w:hAnsi="Times New Roman"/>
        </w:rPr>
      </w:pPr>
    </w:p>
    <w:p w:rsidR="007858DD" w:rsidRPr="008E1AAF" w:rsidRDefault="007858DD" w:rsidP="008E1AAF">
      <w:pPr>
        <w:numPr>
          <w:ilvl w:val="0"/>
          <w:numId w:val="7"/>
        </w:numPr>
        <w:rPr>
          <w:rFonts w:ascii="Times New Roman" w:hAnsi="Times New Roman"/>
        </w:rPr>
      </w:pPr>
      <w:r w:rsidRPr="008E1AAF">
        <w:rPr>
          <w:rFonts w:ascii="Times New Roman" w:hAnsi="Times New Roman"/>
        </w:rPr>
        <w:t xml:space="preserve"> 375 U. S. 180.</w:t>
      </w:r>
    </w:p>
    <w:p w:rsidR="007858DD" w:rsidRPr="008E1AAF" w:rsidRDefault="007858DD" w:rsidP="008E1AAF">
      <w:pPr>
        <w:rPr>
          <w:rFonts w:ascii="Times New Roman" w:hAnsi="Times New Roman"/>
        </w:rPr>
      </w:pPr>
    </w:p>
    <w:p w:rsidR="007858DD" w:rsidRPr="008E1AAF" w:rsidRDefault="007858DD" w:rsidP="008E1AAF">
      <w:pPr>
        <w:numPr>
          <w:ilvl w:val="0"/>
          <w:numId w:val="7"/>
        </w:numPr>
        <w:rPr>
          <w:rFonts w:ascii="Times New Roman" w:hAnsi="Times New Roman"/>
        </w:rPr>
      </w:pPr>
      <w:r w:rsidRPr="008E1AAF">
        <w:rPr>
          <w:rFonts w:ascii="Times New Roman" w:hAnsi="Times New Roman"/>
        </w:rPr>
        <w:t>Id at 184.</w:t>
      </w:r>
    </w:p>
    <w:p w:rsidR="007858DD" w:rsidRPr="008E1AAF" w:rsidRDefault="007858DD" w:rsidP="008E1AAF">
      <w:pPr>
        <w:rPr>
          <w:rFonts w:ascii="Times New Roman" w:hAnsi="Times New Roman"/>
        </w:rPr>
      </w:pPr>
    </w:p>
    <w:p w:rsidR="007858DD" w:rsidRPr="008E1AAF" w:rsidRDefault="007858DD" w:rsidP="008E1AAF">
      <w:pPr>
        <w:numPr>
          <w:ilvl w:val="0"/>
          <w:numId w:val="7"/>
        </w:numPr>
        <w:rPr>
          <w:rFonts w:ascii="Times New Roman" w:hAnsi="Times New Roman"/>
        </w:rPr>
      </w:pPr>
      <w:hyperlink r:id="rId9" w:history="1">
        <w:r w:rsidRPr="008E1AAF">
          <w:rPr>
            <w:rStyle w:val="Hyperlink"/>
            <w:rFonts w:ascii="Times New Roman" w:hAnsi="Times New Roman"/>
          </w:rPr>
          <w:t>http://www.sec.gov/news/speech/1934/030034douglas.pdf</w:t>
        </w:r>
      </w:hyperlink>
      <w:r w:rsidRPr="008E1AAF">
        <w:rPr>
          <w:rFonts w:ascii="Times New Roman" w:hAnsi="Times New Roman"/>
        </w:rPr>
        <w:t xml:space="preserve"> (Article in </w:t>
      </w:r>
      <w:r w:rsidRPr="008E1AAF">
        <w:rPr>
          <w:rFonts w:ascii="Times New Roman" w:hAnsi="Times New Roman"/>
          <w:i/>
        </w:rPr>
        <w:t>Yale Law Review</w:t>
      </w:r>
      <w:r w:rsidRPr="008E1AAF">
        <w:rPr>
          <w:rFonts w:ascii="Times New Roman" w:hAnsi="Times New Roman"/>
        </w:rPr>
        <w:t>.)</w:t>
      </w:r>
    </w:p>
    <w:p w:rsidR="007858DD" w:rsidRPr="008E1AAF" w:rsidRDefault="007858DD" w:rsidP="008E1AAF">
      <w:pPr>
        <w:rPr>
          <w:rFonts w:ascii="Times New Roman" w:hAnsi="Times New Roman"/>
        </w:rPr>
      </w:pPr>
    </w:p>
    <w:p w:rsidR="007858DD" w:rsidRPr="008E1AAF" w:rsidRDefault="007858DD" w:rsidP="008E1AAF">
      <w:pPr>
        <w:numPr>
          <w:ilvl w:val="0"/>
          <w:numId w:val="7"/>
        </w:numPr>
        <w:rPr>
          <w:rFonts w:ascii="Times New Roman" w:hAnsi="Times New Roman"/>
        </w:rPr>
      </w:pPr>
      <w:r w:rsidRPr="008E1AAF">
        <w:rPr>
          <w:rFonts w:ascii="Times New Roman" w:hAnsi="Times New Roman"/>
        </w:rPr>
        <w:t xml:space="preserve">See: </w:t>
      </w:r>
      <w:hyperlink r:id="rId10" w:history="1">
        <w:r w:rsidRPr="008E1AAF">
          <w:rPr>
            <w:rStyle w:val="Hyperlink"/>
            <w:rFonts w:ascii="Times New Roman" w:hAnsi="Times New Roman"/>
          </w:rPr>
          <w:t>http://www.sec.gov/news/studies/bkrcomp.txt</w:t>
        </w:r>
      </w:hyperlink>
    </w:p>
    <w:p w:rsidR="007858DD" w:rsidRPr="008E1AAF" w:rsidRDefault="007858DD" w:rsidP="008E1AAF">
      <w:pPr>
        <w:rPr>
          <w:rFonts w:ascii="Times New Roman" w:hAnsi="Times New Roman"/>
        </w:rPr>
      </w:pPr>
    </w:p>
    <w:p w:rsidR="007858DD" w:rsidRPr="008E1AAF" w:rsidRDefault="007858DD" w:rsidP="008E1AAF">
      <w:pPr>
        <w:numPr>
          <w:ilvl w:val="0"/>
          <w:numId w:val="7"/>
        </w:numPr>
        <w:rPr>
          <w:rFonts w:ascii="Times New Roman" w:hAnsi="Times New Roman"/>
        </w:rPr>
      </w:pPr>
      <w:r w:rsidRPr="008E1AAF">
        <w:rPr>
          <w:rFonts w:ascii="Times New Roman" w:hAnsi="Times New Roman"/>
        </w:rPr>
        <w:t>http://www.sec.gov/news/press/2012/2012-172.htm</w:t>
      </w:r>
    </w:p>
    <w:p w:rsidR="007858DD" w:rsidRPr="008E1AAF" w:rsidRDefault="007858DD" w:rsidP="008E1AAF">
      <w:pPr>
        <w:rPr>
          <w:rFonts w:ascii="Times New Roman" w:hAnsi="Times New Roman"/>
        </w:rPr>
      </w:pPr>
    </w:p>
    <w:p w:rsidR="007858DD" w:rsidRPr="008E1AAF" w:rsidRDefault="007858DD" w:rsidP="008E1AAF">
      <w:pPr>
        <w:numPr>
          <w:ilvl w:val="0"/>
          <w:numId w:val="7"/>
        </w:numPr>
        <w:rPr>
          <w:rFonts w:ascii="Times New Roman" w:hAnsi="Times New Roman"/>
        </w:rPr>
      </w:pPr>
      <w:r w:rsidRPr="008E1AAF">
        <w:rPr>
          <w:rFonts w:ascii="Times New Roman" w:hAnsi="Times New Roman"/>
        </w:rPr>
        <w:t>Professor Arthur Laby, “The Fiduciary Obligation as the Adoption of Ends,” Buffalo Law Review, Vol 56, 99.</w:t>
      </w:r>
    </w:p>
    <w:p w:rsidR="007858DD" w:rsidRPr="008E1AAF" w:rsidRDefault="007858DD" w:rsidP="008E1AAF">
      <w:pPr>
        <w:rPr>
          <w:rFonts w:ascii="Times New Roman" w:hAnsi="Times New Roman"/>
        </w:rPr>
      </w:pPr>
    </w:p>
    <w:p w:rsidR="007858DD" w:rsidRPr="008E1AAF" w:rsidRDefault="007858DD" w:rsidP="008E1AAF">
      <w:pPr>
        <w:numPr>
          <w:ilvl w:val="0"/>
          <w:numId w:val="7"/>
        </w:numPr>
        <w:rPr>
          <w:rFonts w:ascii="Times New Roman" w:hAnsi="Times New Roman"/>
        </w:rPr>
      </w:pPr>
      <w:r w:rsidRPr="008E1AAF">
        <w:rPr>
          <w:rFonts w:ascii="Times New Roman" w:hAnsi="Times New Roman"/>
        </w:rPr>
        <w:t>Professor Arthur Laby, “Selling Advice and Creating Expectations: Why Brokers Should be Fiduciaries.” Washington Law Review, Vol. 87:707, at 720.</w:t>
      </w:r>
    </w:p>
    <w:p w:rsidR="007858DD" w:rsidRPr="008E1AAF" w:rsidRDefault="007858DD" w:rsidP="008E1AAF">
      <w:pPr>
        <w:rPr>
          <w:rFonts w:ascii="Times New Roman" w:hAnsi="Times New Roman"/>
        </w:rPr>
      </w:pPr>
    </w:p>
    <w:p w:rsidR="007858DD" w:rsidRDefault="007858DD" w:rsidP="008E1AAF">
      <w:pPr>
        <w:numPr>
          <w:ilvl w:val="0"/>
          <w:numId w:val="7"/>
        </w:numPr>
        <w:rPr>
          <w:rFonts w:ascii="Times New Roman" w:hAnsi="Times New Roman"/>
        </w:rPr>
      </w:pPr>
      <w:hyperlink r:id="rId11" w:history="1">
        <w:r w:rsidRPr="008E1AAF">
          <w:rPr>
            <w:rStyle w:val="Hyperlink"/>
            <w:rFonts w:ascii="Times New Roman" w:hAnsi="Times New Roman"/>
          </w:rPr>
          <w:t>http://www.finra.org/Newsroom/Speeches/Ketchum/P120289</w:t>
        </w:r>
      </w:hyperlink>
    </w:p>
    <w:p w:rsidR="007858DD" w:rsidRDefault="007858DD" w:rsidP="000E3D8E">
      <w:pPr>
        <w:rPr>
          <w:rFonts w:ascii="Times New Roman" w:hAnsi="Times New Roman"/>
        </w:rPr>
      </w:pPr>
    </w:p>
    <w:p w:rsidR="007858DD" w:rsidRPr="000E3D8E" w:rsidRDefault="007858DD" w:rsidP="000E3D8E">
      <w:pPr>
        <w:ind w:firstLine="360"/>
        <w:rPr>
          <w:rFonts w:ascii="Times New Roman" w:hAnsi="Times New Roman"/>
        </w:rPr>
      </w:pPr>
      <w:r>
        <w:rPr>
          <w:rFonts w:ascii="Times New Roman" w:hAnsi="Times New Roman"/>
          <w:b/>
        </w:rPr>
        <w:t>R</w:t>
      </w:r>
      <w:r w:rsidRPr="008E1AAF">
        <w:rPr>
          <w:rFonts w:ascii="Times New Roman" w:hAnsi="Times New Roman"/>
          <w:b/>
        </w:rPr>
        <w:t>ick Ketchum, CEO, FINRA, October 27, 2009</w:t>
      </w:r>
    </w:p>
    <w:p w:rsidR="007858DD" w:rsidRPr="008E1AAF" w:rsidRDefault="007858DD" w:rsidP="000E3D8E">
      <w:pPr>
        <w:ind w:left="720"/>
        <w:rPr>
          <w:rFonts w:ascii="Times New Roman" w:hAnsi="Times New Roman"/>
          <w:b/>
        </w:rPr>
      </w:pPr>
    </w:p>
    <w:p w:rsidR="007858DD" w:rsidRDefault="007858DD" w:rsidP="000E3D8E">
      <w:pPr>
        <w:ind w:left="720"/>
        <w:rPr>
          <w:rFonts w:ascii="Times New Roman" w:hAnsi="Times New Roman"/>
        </w:rPr>
      </w:pPr>
      <w:r w:rsidRPr="008E1AAF">
        <w:rPr>
          <w:rFonts w:ascii="Times New Roman" w:hAnsi="Times New Roman"/>
        </w:rPr>
        <w:t xml:space="preserve">Here, Ketchum draws the contrast between a “minimum standard of acceptability” and an investor’s “best interest” with a “true fiduciary spirit”.  </w:t>
      </w:r>
    </w:p>
    <w:p w:rsidR="007858DD" w:rsidRDefault="007858DD" w:rsidP="000E3D8E">
      <w:pPr>
        <w:ind w:left="720"/>
        <w:rPr>
          <w:rFonts w:ascii="Times New Roman" w:hAnsi="Times New Roman"/>
        </w:rPr>
      </w:pPr>
    </w:p>
    <w:p w:rsidR="007858DD" w:rsidRDefault="007858DD" w:rsidP="000E3D8E">
      <w:pPr>
        <w:ind w:left="720"/>
        <w:rPr>
          <w:rFonts w:ascii="Times New Roman" w:hAnsi="Times New Roman"/>
        </w:rPr>
      </w:pPr>
      <w:r w:rsidRPr="008E1AAF">
        <w:rPr>
          <w:rFonts w:ascii="Times New Roman" w:hAnsi="Times New Roman"/>
          <w:i/>
        </w:rPr>
        <w:t>In recent years, business practices have evolved to a point where for some firms products and services were being offered not on the basis of whether they were in the best interest of the customer, but whether they met a minimum standard of acceptability. We've seen this with a variety of structured products, in which there was no change in the business model despite a dramatic change in the business climate.…… there needs to be a shift in the way some firms approach their development of new products and the way they market these products to the public. Your integrity and commitment to good business practices should be the first line of defense in investor protection, and I urge you to view your responsibilities in a true fiduciary spirit.</w:t>
      </w:r>
    </w:p>
    <w:p w:rsidR="007858DD" w:rsidRDefault="007858DD" w:rsidP="000E3D8E">
      <w:pPr>
        <w:rPr>
          <w:rFonts w:ascii="Times New Roman" w:hAnsi="Times New Roman"/>
        </w:rPr>
      </w:pPr>
    </w:p>
    <w:p w:rsidR="007858DD" w:rsidRDefault="007858DD" w:rsidP="000E3D8E">
      <w:pPr>
        <w:rPr>
          <w:rFonts w:ascii="Times New Roman" w:hAnsi="Times New Roman"/>
        </w:rPr>
      </w:pPr>
    </w:p>
    <w:p w:rsidR="007858DD" w:rsidRDefault="007858DD" w:rsidP="000E3D8E">
      <w:pPr>
        <w:rPr>
          <w:rFonts w:ascii="Times New Roman" w:hAnsi="Times New Roman"/>
        </w:rPr>
      </w:pPr>
    </w:p>
    <w:p w:rsidR="007858DD" w:rsidRDefault="007858DD" w:rsidP="000E3D8E">
      <w:pPr>
        <w:rPr>
          <w:rFonts w:ascii="Times New Roman" w:hAnsi="Times New Roman"/>
        </w:rPr>
      </w:pPr>
    </w:p>
    <w:p w:rsidR="007858DD" w:rsidRPr="008E1AAF" w:rsidRDefault="007858DD" w:rsidP="000E3D8E">
      <w:pPr>
        <w:ind w:left="360"/>
        <w:rPr>
          <w:rFonts w:ascii="Times New Roman" w:hAnsi="Times New Roman"/>
        </w:rPr>
      </w:pPr>
    </w:p>
    <w:p w:rsidR="007858DD" w:rsidRPr="00164C77" w:rsidRDefault="007858DD" w:rsidP="00164C77">
      <w:pPr>
        <w:rPr>
          <w:rFonts w:ascii="Times New Roman" w:hAnsi="Times New Roman"/>
          <w:i/>
        </w:rPr>
      </w:pPr>
      <w:r w:rsidRPr="008E1AAF">
        <w:rPr>
          <w:rFonts w:ascii="Times New Roman" w:hAnsi="Times New Roman"/>
          <w:b/>
          <w:color w:val="000000"/>
        </w:rPr>
        <w:t>Attachment A</w:t>
      </w:r>
    </w:p>
    <w:p w:rsidR="007858DD" w:rsidRPr="008E1AAF" w:rsidRDefault="007858DD" w:rsidP="008E1AAF">
      <w:pPr>
        <w:rPr>
          <w:rFonts w:ascii="Times New Roman" w:hAnsi="Times New Roman"/>
          <w:color w:val="000000"/>
        </w:rPr>
      </w:pPr>
    </w:p>
    <w:p w:rsidR="007858DD" w:rsidRPr="008E1AAF" w:rsidRDefault="007858DD" w:rsidP="008E1AAF">
      <w:pPr>
        <w:rPr>
          <w:rFonts w:ascii="Times New Roman" w:hAnsi="Times New Roman"/>
          <w:i/>
        </w:rPr>
      </w:pPr>
      <w:r w:rsidRPr="008E1AAF">
        <w:rPr>
          <w:rFonts w:ascii="Times New Roman" w:hAnsi="Times New Roman"/>
          <w:i/>
        </w:rPr>
        <w:t>Investor Confusion or Investor Disengagement: What Does the Research Suggest?</w:t>
      </w:r>
    </w:p>
    <w:p w:rsidR="007858DD" w:rsidRPr="008E1AAF" w:rsidRDefault="007858DD" w:rsidP="008E1AAF">
      <w:pPr>
        <w:rPr>
          <w:rFonts w:ascii="Times New Roman" w:hAnsi="Times New Roman"/>
        </w:rPr>
      </w:pPr>
    </w:p>
    <w:p w:rsidR="007858DD" w:rsidRPr="008E1AAF" w:rsidRDefault="007858DD" w:rsidP="008E1AAF">
      <w:pPr>
        <w:rPr>
          <w:rFonts w:ascii="Times New Roman" w:hAnsi="Times New Roman"/>
        </w:rPr>
      </w:pPr>
      <w:r w:rsidRPr="008E1AAF">
        <w:rPr>
          <w:rFonts w:ascii="Times New Roman" w:hAnsi="Times New Roman"/>
        </w:rPr>
        <w:t xml:space="preserve">Independent research of investors’ understanding of investing, investment services, service providers and investing costs have widely been characterized to suggest that investors are “confused.” However, a closer look at the research suggests a different phenomenon may be at play. Researchers Alan Palmiter and Ahmed Taha, who reviewed the academic literature on mutual fund investors, lament “Fund investors are unaware of the basics of their funds, pay insufficient attention to fund costs, and chase past performance despite little evidence that high past returns predict future returns.” </w:t>
      </w:r>
      <w:hyperlink r:id="rId12" w:history="1">
        <w:r w:rsidRPr="008E1AAF">
          <w:rPr>
            <w:rStyle w:val="Hyperlink"/>
            <w:rFonts w:ascii="Times New Roman" w:hAnsi="Times New Roman"/>
          </w:rPr>
          <w:t>http://papers.ssrn.com/sol3/papers.cfm?abstract_id=1098991</w:t>
        </w:r>
      </w:hyperlink>
    </w:p>
    <w:p w:rsidR="007858DD" w:rsidRPr="008E1AAF" w:rsidRDefault="007858DD" w:rsidP="008E1AAF">
      <w:pPr>
        <w:rPr>
          <w:rFonts w:ascii="Times New Roman" w:hAnsi="Times New Roman"/>
        </w:rPr>
      </w:pPr>
      <w:r w:rsidRPr="008E1AAF">
        <w:rPr>
          <w:rFonts w:ascii="Times New Roman" w:hAnsi="Times New Roman"/>
        </w:rPr>
        <w:t xml:space="preserve">   </w:t>
      </w:r>
    </w:p>
    <w:p w:rsidR="007858DD" w:rsidRPr="008E1AAF" w:rsidRDefault="007858DD" w:rsidP="008E1AAF">
      <w:pPr>
        <w:rPr>
          <w:rFonts w:ascii="Times New Roman" w:hAnsi="Times New Roman"/>
        </w:rPr>
      </w:pPr>
      <w:r w:rsidRPr="008E1AAF">
        <w:rPr>
          <w:rFonts w:ascii="Times New Roman" w:hAnsi="Times New Roman"/>
          <w:i/>
          <w:u w:val="single"/>
        </w:rPr>
        <w:t>AARP.</w:t>
      </w:r>
      <w:r w:rsidRPr="008E1AAF">
        <w:rPr>
          <w:rFonts w:ascii="Times New Roman" w:hAnsi="Times New Roman"/>
        </w:rPr>
        <w:t xml:space="preserve">  The 2007 AARP report, “401(k) Participant’s Awareness and Understanding of Fees” underscores 401 (k) participants’ lack of awareness of plan fees. Key findings: 83% of participants admit “they do not know how much they pay for fees and expenses associated with their own plan, while 65% reported they pay no fees,… (and) 17% stated they do pay fees.”</w:t>
      </w:r>
      <w:r w:rsidRPr="008E1AAF">
        <w:rPr>
          <w:rFonts w:ascii="Times New Roman" w:hAnsi="Times New Roman"/>
          <w:sz w:val="16"/>
          <w:szCs w:val="16"/>
        </w:rPr>
        <w:t xml:space="preserve"> </w:t>
      </w:r>
      <w:r w:rsidRPr="008E1AAF">
        <w:rPr>
          <w:rFonts w:ascii="Times New Roman" w:hAnsi="Times New Roman"/>
          <w:b/>
          <w:sz w:val="16"/>
          <w:szCs w:val="16"/>
        </w:rPr>
        <w:t>a</w:t>
      </w:r>
    </w:p>
    <w:p w:rsidR="007858DD" w:rsidRPr="008E1AAF" w:rsidRDefault="007858DD" w:rsidP="008E1AAF">
      <w:pPr>
        <w:ind w:left="840"/>
        <w:rPr>
          <w:rFonts w:ascii="Times New Roman" w:hAnsi="Times New Roman"/>
          <w:u w:val="single"/>
        </w:rPr>
      </w:pPr>
    </w:p>
    <w:p w:rsidR="007858DD" w:rsidRPr="008E1AAF" w:rsidRDefault="007858DD" w:rsidP="008E1AAF">
      <w:pPr>
        <w:rPr>
          <w:rFonts w:ascii="Times New Roman" w:hAnsi="Times New Roman"/>
        </w:rPr>
      </w:pPr>
      <w:r w:rsidRPr="008E1AAF">
        <w:rPr>
          <w:rFonts w:ascii="Times New Roman" w:hAnsi="Times New Roman"/>
          <w:i/>
          <w:u w:val="single"/>
        </w:rPr>
        <w:t>RAND.</w:t>
      </w:r>
      <w:r w:rsidRPr="008E1AAF">
        <w:rPr>
          <w:rFonts w:ascii="Times New Roman" w:hAnsi="Times New Roman"/>
        </w:rPr>
        <w:t xml:space="preserve"> The SEC’s 2008 Rand Report, “Investor and Industry Perspectives on Investment Advisers and Broker Dealers,” is widely cited for revealing that investors are unaware of the basic different legal requirements of brokers and registered investment advisers. </w:t>
      </w:r>
      <w:r w:rsidRPr="008E1AAF">
        <w:rPr>
          <w:rFonts w:ascii="Times New Roman" w:hAnsi="Times New Roman"/>
          <w:b/>
          <w:sz w:val="16"/>
          <w:szCs w:val="16"/>
        </w:rPr>
        <w:t>b</w:t>
      </w:r>
    </w:p>
    <w:p w:rsidR="007858DD" w:rsidRPr="008E1AAF" w:rsidRDefault="007858DD" w:rsidP="008E1AAF">
      <w:pPr>
        <w:rPr>
          <w:rFonts w:ascii="Times New Roman" w:hAnsi="Times New Roman"/>
        </w:rPr>
      </w:pPr>
    </w:p>
    <w:p w:rsidR="007858DD" w:rsidRPr="008E1AAF" w:rsidRDefault="007858DD" w:rsidP="008E1AAF">
      <w:pPr>
        <w:rPr>
          <w:rFonts w:ascii="Times New Roman" w:hAnsi="Times New Roman"/>
        </w:rPr>
      </w:pPr>
      <w:r w:rsidRPr="008E1AAF">
        <w:rPr>
          <w:rFonts w:ascii="Times New Roman" w:hAnsi="Times New Roman"/>
        </w:rPr>
        <w:t xml:space="preserve">“Overall, we found that many survey respondents and focus group participants do not understand key distinctions between investment advisers and broker-dealers – their duties, the titles they use, the firms for which work, or the services they offer.” Rand also reports that investors are generally satisfied with the services they receive, and “this satisfaction was often reported to arise from the personal attention the investor receives.” Regarding investment expenses, “Survey respondents also indicate confusion about fees.” </w:t>
      </w:r>
    </w:p>
    <w:p w:rsidR="007858DD" w:rsidRPr="008E1AAF" w:rsidRDefault="007858DD" w:rsidP="008E1AAF">
      <w:pPr>
        <w:rPr>
          <w:rFonts w:ascii="Times New Roman" w:hAnsi="Times New Roman"/>
        </w:rPr>
      </w:pPr>
      <w:r w:rsidRPr="008E1AAF">
        <w:rPr>
          <w:rFonts w:ascii="Times New Roman" w:hAnsi="Times New Roman"/>
        </w:rPr>
        <w:t xml:space="preserve">  </w:t>
      </w:r>
    </w:p>
    <w:p w:rsidR="007858DD" w:rsidRPr="008E1AAF" w:rsidRDefault="007858DD" w:rsidP="008E1AAF">
      <w:pPr>
        <w:rPr>
          <w:rFonts w:ascii="Times New Roman" w:hAnsi="Times New Roman"/>
        </w:rPr>
      </w:pPr>
      <w:r w:rsidRPr="008E1AAF">
        <w:rPr>
          <w:rFonts w:ascii="Times New Roman" w:hAnsi="Times New Roman"/>
        </w:rPr>
        <w:t xml:space="preserve">The Rand report found that 25% of the survey respondents who reported using a financial service provider also report that they paid “$0” for advisory or brokerage services. </w:t>
      </w:r>
    </w:p>
    <w:p w:rsidR="007858DD" w:rsidRPr="008E1AAF" w:rsidRDefault="007858DD" w:rsidP="008E1AAF">
      <w:pPr>
        <w:rPr>
          <w:rFonts w:ascii="Times New Roman" w:hAnsi="Times New Roman"/>
          <w:i/>
          <w:u w:val="single"/>
        </w:rPr>
      </w:pPr>
    </w:p>
    <w:p w:rsidR="007858DD" w:rsidRPr="008E1AAF" w:rsidRDefault="007858DD" w:rsidP="008E1AAF">
      <w:pPr>
        <w:rPr>
          <w:rFonts w:ascii="Times New Roman" w:hAnsi="Times New Roman"/>
        </w:rPr>
      </w:pPr>
      <w:r w:rsidRPr="008E1AAF">
        <w:rPr>
          <w:rFonts w:ascii="Times New Roman" w:hAnsi="Times New Roman"/>
          <w:i/>
          <w:u w:val="single"/>
        </w:rPr>
        <w:t>Envestnet.</w:t>
      </w:r>
      <w:r w:rsidRPr="008E1AAF">
        <w:rPr>
          <w:rFonts w:ascii="Times New Roman" w:hAnsi="Times New Roman"/>
        </w:rPr>
        <w:t xml:space="preserve"> The more recent Envestnet Fiduciary Standards Study serves to reinforce concerns about investors’ understanding of advisors and brokers.</w:t>
      </w:r>
      <w:r w:rsidRPr="008E1AAF">
        <w:rPr>
          <w:rFonts w:ascii="Times New Roman" w:hAnsi="Times New Roman"/>
          <w:b/>
        </w:rPr>
        <w:t xml:space="preserve"> </w:t>
      </w:r>
      <w:r w:rsidRPr="008E1AAF">
        <w:rPr>
          <w:rFonts w:ascii="Times New Roman" w:hAnsi="Times New Roman"/>
          <w:b/>
          <w:sz w:val="16"/>
          <w:szCs w:val="16"/>
        </w:rPr>
        <w:t xml:space="preserve">c  </w:t>
      </w:r>
      <w:r w:rsidRPr="008E1AAF">
        <w:rPr>
          <w:rFonts w:ascii="Times New Roman" w:hAnsi="Times New Roman"/>
        </w:rPr>
        <w:t xml:space="preserve">The report characterizes investors as being “foggy” about brokers’ and advisors’ roles and obligations. Of particular note regarding investors’ knowledge of investment expenses and broker or advisor compensation, only 15% of investors state they can “very well” “assess how your advisor gets paid.”  (39% state “well” and the 53% state “not too well,” “not well at all”or “don’t know”.)  </w:t>
      </w:r>
    </w:p>
    <w:p w:rsidR="007858DD" w:rsidRPr="008E1AAF" w:rsidRDefault="007858DD" w:rsidP="008E1AAF">
      <w:pPr>
        <w:ind w:left="840"/>
        <w:rPr>
          <w:rFonts w:ascii="Times New Roman" w:hAnsi="Times New Roman"/>
        </w:rPr>
      </w:pPr>
    </w:p>
    <w:p w:rsidR="007858DD" w:rsidRPr="008E1AAF" w:rsidRDefault="007858DD" w:rsidP="008E1AAF">
      <w:pPr>
        <w:rPr>
          <w:rFonts w:ascii="Times New Roman" w:hAnsi="Times New Roman"/>
        </w:rPr>
      </w:pPr>
      <w:r w:rsidRPr="008E1AAF">
        <w:rPr>
          <w:rFonts w:ascii="Times New Roman" w:hAnsi="Times New Roman"/>
        </w:rPr>
        <w:t xml:space="preserve">That only 15% of investors indicate they understand how (and perhaps by implication, what) their broker or advisor is paid suggests there is far more than mere “confusion” involved; it suggests a level of “disengagement” </w:t>
      </w:r>
      <w:r w:rsidRPr="008E1AAF">
        <w:rPr>
          <w:rFonts w:ascii="Times New Roman" w:hAnsi="Times New Roman"/>
          <w:b/>
          <w:sz w:val="16"/>
          <w:szCs w:val="16"/>
        </w:rPr>
        <w:t>d</w:t>
      </w:r>
      <w:r w:rsidRPr="008E1AAF">
        <w:rPr>
          <w:rFonts w:ascii="Times New Roman" w:hAnsi="Times New Roman"/>
          <w:sz w:val="16"/>
          <w:szCs w:val="16"/>
        </w:rPr>
        <w:t xml:space="preserve"> </w:t>
      </w:r>
      <w:r w:rsidRPr="008E1AAF">
        <w:rPr>
          <w:rFonts w:ascii="Times New Roman" w:hAnsi="Times New Roman"/>
        </w:rPr>
        <w:t xml:space="preserve"> from the services and service provider. As a point of comparison, the question might be asked whether there is any other profession or group of service providers where 85% of their clients or customers acknowledge that they do not know, “very well,” how much they pay for the services rendered. </w:t>
      </w:r>
    </w:p>
    <w:p w:rsidR="007858DD" w:rsidRPr="008E1AAF" w:rsidRDefault="007858DD" w:rsidP="008E1AAF">
      <w:pPr>
        <w:rPr>
          <w:rFonts w:ascii="Times New Roman" w:hAnsi="Times New Roman"/>
          <w:u w:val="single"/>
        </w:rPr>
      </w:pPr>
    </w:p>
    <w:p w:rsidR="007858DD" w:rsidRPr="008E1AAF" w:rsidRDefault="007858DD" w:rsidP="008E1AAF">
      <w:pPr>
        <w:rPr>
          <w:rFonts w:ascii="Times New Roman" w:hAnsi="Times New Roman"/>
        </w:rPr>
      </w:pPr>
      <w:r w:rsidRPr="008E1AAF">
        <w:rPr>
          <w:rFonts w:ascii="Times New Roman" w:hAnsi="Times New Roman"/>
          <w:i/>
          <w:u w:val="single"/>
        </w:rPr>
        <w:t>Conclusions.</w:t>
      </w:r>
      <w:r w:rsidRPr="008E1AAF">
        <w:rPr>
          <w:rFonts w:ascii="Times New Roman" w:hAnsi="Times New Roman"/>
        </w:rPr>
        <w:t xml:space="preserve"> These research studies offer insight into the nature of investor “misunderstanding,” and the consequent level of investor risk. The level of the general lack of awareness of the fees and expenses investors pay for their brokerage and advisory services and the prevalence of the belief that these services are “free” suggests a picture that should, at minimum, raise red flags to the profession and regulators alike.      </w:t>
      </w:r>
    </w:p>
    <w:p w:rsidR="007858DD" w:rsidRPr="008E1AAF" w:rsidRDefault="007858DD" w:rsidP="008E1AAF">
      <w:pPr>
        <w:rPr>
          <w:rFonts w:ascii="Times New Roman" w:hAnsi="Times New Roman"/>
        </w:rPr>
      </w:pPr>
    </w:p>
    <w:p w:rsidR="007858DD" w:rsidRPr="008E1AAF" w:rsidRDefault="007858DD" w:rsidP="008E1AAF">
      <w:pPr>
        <w:numPr>
          <w:ilvl w:val="0"/>
          <w:numId w:val="8"/>
        </w:numPr>
        <w:rPr>
          <w:rFonts w:ascii="Times New Roman" w:hAnsi="Times New Roman"/>
        </w:rPr>
      </w:pPr>
      <w:r w:rsidRPr="008E1AAF">
        <w:rPr>
          <w:rFonts w:ascii="Times New Roman" w:hAnsi="Times New Roman"/>
        </w:rPr>
        <w:t xml:space="preserve">See </w:t>
      </w:r>
      <w:hyperlink r:id="rId13" w:history="1">
        <w:r w:rsidRPr="008E1AAF">
          <w:rPr>
            <w:rStyle w:val="Hyperlink"/>
            <w:rFonts w:ascii="Times New Roman" w:hAnsi="Times New Roman"/>
          </w:rPr>
          <w:t>http://assets.aarp.org/rgcenter/econ/401k_fees.pdf</w:t>
        </w:r>
      </w:hyperlink>
    </w:p>
    <w:p w:rsidR="007858DD" w:rsidRPr="008E1AAF" w:rsidRDefault="007858DD" w:rsidP="008E1AAF">
      <w:pPr>
        <w:ind w:left="360"/>
        <w:rPr>
          <w:rFonts w:ascii="Times New Roman" w:hAnsi="Times New Roman"/>
        </w:rPr>
      </w:pPr>
    </w:p>
    <w:p w:rsidR="007858DD" w:rsidRPr="008E1AAF" w:rsidRDefault="007858DD" w:rsidP="008E1AAF">
      <w:pPr>
        <w:numPr>
          <w:ilvl w:val="0"/>
          <w:numId w:val="8"/>
        </w:numPr>
        <w:rPr>
          <w:rFonts w:ascii="Times New Roman" w:hAnsi="Times New Roman"/>
        </w:rPr>
      </w:pPr>
      <w:r w:rsidRPr="008E1AAF">
        <w:rPr>
          <w:rFonts w:ascii="Times New Roman" w:hAnsi="Times New Roman"/>
        </w:rPr>
        <w:t xml:space="preserve">See </w:t>
      </w:r>
      <w:hyperlink r:id="rId14" w:history="1">
        <w:r w:rsidRPr="008E1AAF">
          <w:rPr>
            <w:rStyle w:val="Hyperlink"/>
            <w:rFonts w:ascii="Times New Roman" w:hAnsi="Times New Roman"/>
          </w:rPr>
          <w:t>http://www.sec.gov/news/press/2008/2008-1_randiabdreport.pdf</w:t>
        </w:r>
      </w:hyperlink>
    </w:p>
    <w:p w:rsidR="007858DD" w:rsidRPr="008E1AAF" w:rsidRDefault="007858DD" w:rsidP="008E1AAF">
      <w:pPr>
        <w:rPr>
          <w:rFonts w:ascii="Times New Roman" w:hAnsi="Times New Roman"/>
        </w:rPr>
      </w:pPr>
    </w:p>
    <w:p w:rsidR="007858DD" w:rsidRPr="008E1AAF" w:rsidRDefault="007858DD" w:rsidP="008E1AAF">
      <w:pPr>
        <w:numPr>
          <w:ilvl w:val="0"/>
          <w:numId w:val="8"/>
        </w:numPr>
        <w:rPr>
          <w:rFonts w:ascii="Times New Roman" w:hAnsi="Times New Roman"/>
        </w:rPr>
      </w:pPr>
      <w:r w:rsidRPr="008E1AAF">
        <w:rPr>
          <w:rFonts w:ascii="Times New Roman" w:hAnsi="Times New Roman"/>
        </w:rPr>
        <w:t xml:space="preserve">See </w:t>
      </w:r>
      <w:hyperlink r:id="rId15" w:history="1">
        <w:r w:rsidRPr="008E1AAF">
          <w:rPr>
            <w:rStyle w:val="Hyperlink"/>
            <w:rFonts w:ascii="Times New Roman" w:hAnsi="Times New Roman"/>
          </w:rPr>
          <w:t>http://www.thefiduciaryopportunity.com/</w:t>
        </w:r>
      </w:hyperlink>
    </w:p>
    <w:p w:rsidR="007858DD" w:rsidRPr="008E1AAF" w:rsidRDefault="007858DD" w:rsidP="008E1AAF">
      <w:pPr>
        <w:rPr>
          <w:rFonts w:ascii="Times New Roman" w:hAnsi="Times New Roman"/>
        </w:rPr>
      </w:pPr>
    </w:p>
    <w:p w:rsidR="007858DD" w:rsidRPr="008E1AAF" w:rsidRDefault="007858DD" w:rsidP="008E1AAF">
      <w:pPr>
        <w:numPr>
          <w:ilvl w:val="0"/>
          <w:numId w:val="8"/>
        </w:numPr>
        <w:rPr>
          <w:rFonts w:ascii="Times New Roman" w:hAnsi="Times New Roman"/>
        </w:rPr>
      </w:pPr>
      <w:r w:rsidRPr="008E1AAF">
        <w:rPr>
          <w:rFonts w:ascii="Times New Roman" w:hAnsi="Times New Roman"/>
        </w:rPr>
        <w:t xml:space="preserve">To suggest that investors are merely </w:t>
      </w:r>
      <w:r w:rsidRPr="008E1AAF">
        <w:rPr>
          <w:rFonts w:ascii="Times New Roman" w:hAnsi="Times New Roman"/>
          <w:i/>
        </w:rPr>
        <w:t xml:space="preserve">confused, </w:t>
      </w:r>
      <w:r w:rsidRPr="008E1AAF">
        <w:rPr>
          <w:rFonts w:ascii="Times New Roman" w:hAnsi="Times New Roman"/>
        </w:rPr>
        <w:t xml:space="preserve">in light of research findings, may be to understate general investor misunderstandings with their service providers. It is true that investors “confuse IAs from BDs.” But this particular confusion is just part of the picture. </w:t>
      </w:r>
    </w:p>
    <w:p w:rsidR="007858DD" w:rsidRPr="008E1AAF" w:rsidRDefault="007858DD" w:rsidP="008E1AAF">
      <w:pPr>
        <w:rPr>
          <w:rFonts w:ascii="Times New Roman" w:hAnsi="Times New Roman"/>
        </w:rPr>
      </w:pPr>
    </w:p>
    <w:p w:rsidR="007858DD" w:rsidRPr="008E1AAF" w:rsidRDefault="007858DD" w:rsidP="008E1AAF">
      <w:pPr>
        <w:ind w:left="720"/>
        <w:rPr>
          <w:rFonts w:ascii="Times New Roman" w:hAnsi="Times New Roman"/>
        </w:rPr>
      </w:pPr>
      <w:r w:rsidRPr="008E1AAF">
        <w:rPr>
          <w:rFonts w:ascii="Times New Roman" w:hAnsi="Times New Roman"/>
        </w:rPr>
        <w:t xml:space="preserve">A dictionary definition of “confuse” serves to suggest that the investor behavior noted here extends beyond </w:t>
      </w:r>
      <w:r w:rsidRPr="008E1AAF">
        <w:rPr>
          <w:rFonts w:ascii="Times New Roman" w:hAnsi="Times New Roman"/>
          <w:i/>
        </w:rPr>
        <w:t>confusion</w:t>
      </w:r>
      <w:r w:rsidRPr="008E1AAF">
        <w:rPr>
          <w:rFonts w:ascii="Times New Roman" w:hAnsi="Times New Roman"/>
        </w:rPr>
        <w:t xml:space="preserve">. The definition of confuse includes “perplex,” “bewilder,” or “to fail to distinguish.” As examples, of using </w:t>
      </w:r>
      <w:r w:rsidRPr="008E1AAF">
        <w:rPr>
          <w:rFonts w:ascii="Times New Roman" w:hAnsi="Times New Roman"/>
          <w:i/>
        </w:rPr>
        <w:t>confuse</w:t>
      </w:r>
      <w:r w:rsidRPr="008E1AAF">
        <w:rPr>
          <w:rFonts w:ascii="Times New Roman" w:hAnsi="Times New Roman"/>
        </w:rPr>
        <w:t xml:space="preserve"> or </w:t>
      </w:r>
      <w:r w:rsidRPr="008E1AAF">
        <w:rPr>
          <w:rFonts w:ascii="Times New Roman" w:hAnsi="Times New Roman"/>
          <w:i/>
        </w:rPr>
        <w:t>confusion</w:t>
      </w:r>
      <w:r w:rsidRPr="008E1AAF">
        <w:rPr>
          <w:rFonts w:ascii="Times New Roman" w:hAnsi="Times New Roman"/>
        </w:rPr>
        <w:t xml:space="preserve"> in a sentence, these definitions offer, for example: “He always confuses the twins.” Or, “Try not to confuse the papers on the desk.” (See Dictionary.com) </w:t>
      </w:r>
    </w:p>
    <w:p w:rsidR="007858DD" w:rsidRPr="008E1AAF" w:rsidRDefault="007858DD" w:rsidP="008E1AAF">
      <w:pPr>
        <w:rPr>
          <w:rFonts w:ascii="Times New Roman" w:hAnsi="Times New Roman"/>
        </w:rPr>
      </w:pPr>
    </w:p>
    <w:p w:rsidR="007858DD" w:rsidRPr="008E1AAF" w:rsidRDefault="007858DD" w:rsidP="008E1AAF">
      <w:pPr>
        <w:ind w:left="720"/>
        <w:rPr>
          <w:rFonts w:ascii="Times New Roman" w:hAnsi="Times New Roman"/>
        </w:rPr>
      </w:pPr>
      <w:r w:rsidRPr="008E1AAF">
        <w:rPr>
          <w:rFonts w:ascii="Times New Roman" w:hAnsi="Times New Roman"/>
        </w:rPr>
        <w:t xml:space="preserve">The scale of investor unawareness of fees, expenses and compensation reflects such a fundamental “gap” that it seems far more appropriate to associate this phenomenon as an indicator of </w:t>
      </w:r>
      <w:r w:rsidRPr="008E1AAF">
        <w:rPr>
          <w:rFonts w:ascii="Times New Roman" w:hAnsi="Times New Roman"/>
          <w:i/>
        </w:rPr>
        <w:t xml:space="preserve">disengagement </w:t>
      </w:r>
      <w:r w:rsidRPr="008E1AAF">
        <w:rPr>
          <w:rFonts w:ascii="Times New Roman" w:hAnsi="Times New Roman"/>
        </w:rPr>
        <w:t xml:space="preserve">more than of </w:t>
      </w:r>
      <w:r w:rsidRPr="008E1AAF">
        <w:rPr>
          <w:rFonts w:ascii="Times New Roman" w:hAnsi="Times New Roman"/>
          <w:i/>
        </w:rPr>
        <w:t>confusion</w:t>
      </w:r>
      <w:r w:rsidRPr="008E1AAF">
        <w:rPr>
          <w:rFonts w:ascii="Times New Roman" w:hAnsi="Times New Roman"/>
        </w:rPr>
        <w:t xml:space="preserve">. Examples of definitions of </w:t>
      </w:r>
      <w:r w:rsidRPr="008E1AAF">
        <w:rPr>
          <w:rFonts w:ascii="Times New Roman" w:hAnsi="Times New Roman"/>
          <w:i/>
        </w:rPr>
        <w:t>disengage</w:t>
      </w:r>
      <w:r w:rsidRPr="008E1AAF">
        <w:rPr>
          <w:rFonts w:ascii="Times New Roman" w:hAnsi="Times New Roman"/>
        </w:rPr>
        <w:t xml:space="preserve"> include: “To release or become released from a connection,” or, to “detach,” disconnect” or “uncouple.”   (See Dictionary.com for further examples.)</w:t>
      </w:r>
    </w:p>
    <w:p w:rsidR="007858DD" w:rsidRPr="008E1AAF" w:rsidRDefault="007858DD" w:rsidP="008E1AAF">
      <w:pPr>
        <w:ind w:left="720"/>
        <w:rPr>
          <w:rFonts w:ascii="Times New Roman" w:hAnsi="Times New Roman"/>
        </w:rPr>
      </w:pPr>
    </w:p>
    <w:p w:rsidR="007858DD" w:rsidRPr="008E1AAF" w:rsidRDefault="007858DD" w:rsidP="008E1AAF">
      <w:pPr>
        <w:ind w:left="720"/>
        <w:rPr>
          <w:rFonts w:ascii="Times New Roman" w:hAnsi="Times New Roman"/>
        </w:rPr>
      </w:pPr>
      <w:r w:rsidRPr="008E1AAF">
        <w:rPr>
          <w:rFonts w:ascii="Times New Roman" w:hAnsi="Times New Roman"/>
        </w:rPr>
        <w:t xml:space="preserve">By only suggesting that investors are </w:t>
      </w:r>
      <w:r w:rsidRPr="008E1AAF">
        <w:rPr>
          <w:rFonts w:ascii="Times New Roman" w:hAnsi="Times New Roman"/>
          <w:i/>
        </w:rPr>
        <w:t>confused</w:t>
      </w:r>
      <w:r w:rsidRPr="008E1AAF">
        <w:rPr>
          <w:rFonts w:ascii="Times New Roman" w:hAnsi="Times New Roman"/>
        </w:rPr>
        <w:t xml:space="preserve">, we may be framing the circumstances far more positively than the evidence actually warrants. In doing so, we may be understating the gravity of investors’ misunderstandings of investing and their advisor or broker.   </w:t>
      </w:r>
      <w:r w:rsidRPr="008E1AAF">
        <w:rPr>
          <w:rFonts w:ascii="Times New Roman" w:hAnsi="Times New Roman"/>
          <w:b/>
          <w:color w:val="000000"/>
        </w:rPr>
        <w:t xml:space="preserve"> </w:t>
      </w:r>
    </w:p>
    <w:sectPr w:rsidR="007858DD" w:rsidRPr="008E1AAF" w:rsidSect="00061D7E">
      <w:headerReference w:type="default" r:id="rId16"/>
      <w:footerReference w:type="even" r:id="rId17"/>
      <w:footerReference w:type="default" r:id="rId18"/>
      <w:pgSz w:w="12240" w:h="15840"/>
      <w:pgMar w:top="216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8DD" w:rsidRDefault="007858DD" w:rsidP="009B59D0">
      <w:r>
        <w:separator/>
      </w:r>
    </w:p>
  </w:endnote>
  <w:endnote w:type="continuationSeparator" w:id="1">
    <w:p w:rsidR="007858DD" w:rsidRDefault="007858DD" w:rsidP="009B59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
    <w:altName w:val="Kozuka Mincho Pro R"/>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DD" w:rsidRDefault="007858DD" w:rsidP="00BD0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8DD" w:rsidRDefault="007858DD" w:rsidP="002D6D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DD" w:rsidRDefault="007858DD" w:rsidP="00BD0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58DD" w:rsidRDefault="007858DD" w:rsidP="002D6D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8DD" w:rsidRDefault="007858DD" w:rsidP="009B59D0">
      <w:r>
        <w:separator/>
      </w:r>
    </w:p>
  </w:footnote>
  <w:footnote w:type="continuationSeparator" w:id="1">
    <w:p w:rsidR="007858DD" w:rsidRDefault="007858DD" w:rsidP="009B5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DD" w:rsidRDefault="007858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44pt;margin-top:1.95pt;width:290pt;height:48.3pt;z-index:251660288;visibility:visible" wrapcoords="-56 0 -56 21262 21600 21262 21600 0 -56 0">
          <v:imagedata r:id="rId1" o:title="" croptop="7615f" cropbottom="6487f"/>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47C8"/>
    <w:multiLevelType w:val="hybridMultilevel"/>
    <w:tmpl w:val="7D9064E4"/>
    <w:lvl w:ilvl="0" w:tplc="E4F634C2">
      <w:numFmt w:val="bullet"/>
      <w:lvlText w:val=""/>
      <w:lvlJc w:val="left"/>
      <w:pPr>
        <w:tabs>
          <w:tab w:val="num" w:pos="720"/>
        </w:tabs>
        <w:ind w:left="720" w:hanging="360"/>
      </w:pPr>
      <w:rPr>
        <w:rFonts w:ascii="Symbol" w:eastAsia="MS ??" w:hAnsi="Symbol" w:hint="default"/>
        <w:b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7E772D"/>
    <w:multiLevelType w:val="hybridMultilevel"/>
    <w:tmpl w:val="7864F8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F7D00FD"/>
    <w:multiLevelType w:val="multilevel"/>
    <w:tmpl w:val="399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701AD"/>
    <w:multiLevelType w:val="hybridMultilevel"/>
    <w:tmpl w:val="5004FBBC"/>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A36DEE"/>
    <w:multiLevelType w:val="hybridMultilevel"/>
    <w:tmpl w:val="F948F39E"/>
    <w:lvl w:ilvl="0" w:tplc="317CD7E4">
      <w:start w:val="11"/>
      <w:numFmt w:val="bullet"/>
      <w:lvlText w:val=""/>
      <w:lvlJc w:val="left"/>
      <w:pPr>
        <w:tabs>
          <w:tab w:val="num" w:pos="720"/>
        </w:tabs>
        <w:ind w:left="720" w:hanging="360"/>
      </w:pPr>
      <w:rPr>
        <w:rFonts w:ascii="Symbol" w:eastAsia="MS ??"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E52D46"/>
    <w:multiLevelType w:val="hybridMultilevel"/>
    <w:tmpl w:val="B7F6C6D2"/>
    <w:lvl w:ilvl="0" w:tplc="5EE055AA">
      <w:start w:val="5"/>
      <w:numFmt w:val="bullet"/>
      <w:lvlText w:val=""/>
      <w:lvlJc w:val="left"/>
      <w:pPr>
        <w:tabs>
          <w:tab w:val="num" w:pos="720"/>
        </w:tabs>
        <w:ind w:left="720" w:hanging="360"/>
      </w:pPr>
      <w:rPr>
        <w:rFonts w:ascii="Symbol" w:eastAsia="MS ??"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4D7A2F"/>
    <w:multiLevelType w:val="hybridMultilevel"/>
    <w:tmpl w:val="FA9826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85B64EC"/>
    <w:multiLevelType w:val="hybridMultilevel"/>
    <w:tmpl w:val="5CF8146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BF636CF"/>
    <w:multiLevelType w:val="hybridMultilevel"/>
    <w:tmpl w:val="CD1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5"/>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20"/>
  <w:characterSpacingControl w:val="doNotCompress"/>
  <w:savePreviewPicture/>
  <w:hdrShapeDefaults>
    <o:shapedefaults v:ext="edit" spidmax="2050"/>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51A"/>
    <w:rsid w:val="00045281"/>
    <w:rsid w:val="00050F7D"/>
    <w:rsid w:val="000511A4"/>
    <w:rsid w:val="00061D7E"/>
    <w:rsid w:val="00062922"/>
    <w:rsid w:val="00064E2E"/>
    <w:rsid w:val="00084D3D"/>
    <w:rsid w:val="000875B6"/>
    <w:rsid w:val="00093295"/>
    <w:rsid w:val="000A6CB1"/>
    <w:rsid w:val="000B5BE4"/>
    <w:rsid w:val="000C6B43"/>
    <w:rsid w:val="000D12C0"/>
    <w:rsid w:val="000D1345"/>
    <w:rsid w:val="000D351A"/>
    <w:rsid w:val="000D4503"/>
    <w:rsid w:val="000E3D8E"/>
    <w:rsid w:val="000E425F"/>
    <w:rsid w:val="0010003E"/>
    <w:rsid w:val="001127D2"/>
    <w:rsid w:val="001328CD"/>
    <w:rsid w:val="001404FB"/>
    <w:rsid w:val="0014102C"/>
    <w:rsid w:val="0015487C"/>
    <w:rsid w:val="00164C77"/>
    <w:rsid w:val="0017418F"/>
    <w:rsid w:val="001772D7"/>
    <w:rsid w:val="00182B9E"/>
    <w:rsid w:val="001911DF"/>
    <w:rsid w:val="00193A4B"/>
    <w:rsid w:val="00195B95"/>
    <w:rsid w:val="001B0C8D"/>
    <w:rsid w:val="001B321F"/>
    <w:rsid w:val="001B595F"/>
    <w:rsid w:val="001C52D1"/>
    <w:rsid w:val="001E0307"/>
    <w:rsid w:val="001E6302"/>
    <w:rsid w:val="001F4D2A"/>
    <w:rsid w:val="00204D09"/>
    <w:rsid w:val="0022581A"/>
    <w:rsid w:val="002366E6"/>
    <w:rsid w:val="00236772"/>
    <w:rsid w:val="002553D8"/>
    <w:rsid w:val="002567B1"/>
    <w:rsid w:val="00257B85"/>
    <w:rsid w:val="002C2B51"/>
    <w:rsid w:val="002D1B6F"/>
    <w:rsid w:val="002D427C"/>
    <w:rsid w:val="002D6D2A"/>
    <w:rsid w:val="002E098B"/>
    <w:rsid w:val="002E4074"/>
    <w:rsid w:val="00305876"/>
    <w:rsid w:val="00307CDE"/>
    <w:rsid w:val="00315BBA"/>
    <w:rsid w:val="00332C4E"/>
    <w:rsid w:val="003415C4"/>
    <w:rsid w:val="003512F6"/>
    <w:rsid w:val="00356B4E"/>
    <w:rsid w:val="00362EA1"/>
    <w:rsid w:val="00367FA8"/>
    <w:rsid w:val="00374E57"/>
    <w:rsid w:val="00382E81"/>
    <w:rsid w:val="00383AA8"/>
    <w:rsid w:val="00393F10"/>
    <w:rsid w:val="00394327"/>
    <w:rsid w:val="003A0C0B"/>
    <w:rsid w:val="003A4038"/>
    <w:rsid w:val="003A4542"/>
    <w:rsid w:val="003A7112"/>
    <w:rsid w:val="003E2D89"/>
    <w:rsid w:val="003E3684"/>
    <w:rsid w:val="003E799C"/>
    <w:rsid w:val="00401FDB"/>
    <w:rsid w:val="0040485F"/>
    <w:rsid w:val="004051D0"/>
    <w:rsid w:val="00407916"/>
    <w:rsid w:val="004270EB"/>
    <w:rsid w:val="004335FF"/>
    <w:rsid w:val="00454B2A"/>
    <w:rsid w:val="00457BAD"/>
    <w:rsid w:val="004707F0"/>
    <w:rsid w:val="00471072"/>
    <w:rsid w:val="004714C2"/>
    <w:rsid w:val="0047204F"/>
    <w:rsid w:val="00485E37"/>
    <w:rsid w:val="00487C85"/>
    <w:rsid w:val="004B2401"/>
    <w:rsid w:val="004C4EB3"/>
    <w:rsid w:val="004C7F87"/>
    <w:rsid w:val="004D7078"/>
    <w:rsid w:val="004D7BAE"/>
    <w:rsid w:val="004E1B4C"/>
    <w:rsid w:val="004E5F99"/>
    <w:rsid w:val="004F7936"/>
    <w:rsid w:val="00510242"/>
    <w:rsid w:val="00513915"/>
    <w:rsid w:val="00520E3A"/>
    <w:rsid w:val="00521007"/>
    <w:rsid w:val="00526D54"/>
    <w:rsid w:val="0053553B"/>
    <w:rsid w:val="00541916"/>
    <w:rsid w:val="00552E15"/>
    <w:rsid w:val="00581483"/>
    <w:rsid w:val="005A01A6"/>
    <w:rsid w:val="005A3EB3"/>
    <w:rsid w:val="005D08A3"/>
    <w:rsid w:val="005D0BFC"/>
    <w:rsid w:val="005E51C2"/>
    <w:rsid w:val="0061410B"/>
    <w:rsid w:val="0062008F"/>
    <w:rsid w:val="00626C6F"/>
    <w:rsid w:val="006339CB"/>
    <w:rsid w:val="00634184"/>
    <w:rsid w:val="006361F3"/>
    <w:rsid w:val="00641BF2"/>
    <w:rsid w:val="00645915"/>
    <w:rsid w:val="00656A08"/>
    <w:rsid w:val="0065758A"/>
    <w:rsid w:val="006606D7"/>
    <w:rsid w:val="0066603D"/>
    <w:rsid w:val="0068136A"/>
    <w:rsid w:val="00686633"/>
    <w:rsid w:val="00686E4F"/>
    <w:rsid w:val="0069167B"/>
    <w:rsid w:val="00692220"/>
    <w:rsid w:val="00692B9B"/>
    <w:rsid w:val="006933FC"/>
    <w:rsid w:val="006A1E58"/>
    <w:rsid w:val="006A2987"/>
    <w:rsid w:val="006A7AA2"/>
    <w:rsid w:val="006B5F90"/>
    <w:rsid w:val="006B68BF"/>
    <w:rsid w:val="006D49DE"/>
    <w:rsid w:val="006D760F"/>
    <w:rsid w:val="006E0E81"/>
    <w:rsid w:val="006F55BA"/>
    <w:rsid w:val="00703CEB"/>
    <w:rsid w:val="00712A1E"/>
    <w:rsid w:val="00717D15"/>
    <w:rsid w:val="007328EA"/>
    <w:rsid w:val="00737C30"/>
    <w:rsid w:val="00762D96"/>
    <w:rsid w:val="00776EA5"/>
    <w:rsid w:val="007858DD"/>
    <w:rsid w:val="00796F03"/>
    <w:rsid w:val="007A5732"/>
    <w:rsid w:val="007C2F6F"/>
    <w:rsid w:val="007C7C08"/>
    <w:rsid w:val="007E4844"/>
    <w:rsid w:val="007F27D4"/>
    <w:rsid w:val="00801880"/>
    <w:rsid w:val="00806EAB"/>
    <w:rsid w:val="00807414"/>
    <w:rsid w:val="00811C10"/>
    <w:rsid w:val="0083417D"/>
    <w:rsid w:val="00863B12"/>
    <w:rsid w:val="00864154"/>
    <w:rsid w:val="008671CC"/>
    <w:rsid w:val="00874861"/>
    <w:rsid w:val="00877E1D"/>
    <w:rsid w:val="00890D98"/>
    <w:rsid w:val="008B2DB9"/>
    <w:rsid w:val="008C28C8"/>
    <w:rsid w:val="008C5B2B"/>
    <w:rsid w:val="008E1AAF"/>
    <w:rsid w:val="008F175B"/>
    <w:rsid w:val="008F1E39"/>
    <w:rsid w:val="009056A7"/>
    <w:rsid w:val="00907A4E"/>
    <w:rsid w:val="00911B06"/>
    <w:rsid w:val="00921545"/>
    <w:rsid w:val="0092184F"/>
    <w:rsid w:val="009236E1"/>
    <w:rsid w:val="0093297D"/>
    <w:rsid w:val="00936CC7"/>
    <w:rsid w:val="009402D8"/>
    <w:rsid w:val="0094644D"/>
    <w:rsid w:val="00953D51"/>
    <w:rsid w:val="009552D6"/>
    <w:rsid w:val="009616BE"/>
    <w:rsid w:val="0096202C"/>
    <w:rsid w:val="009844C0"/>
    <w:rsid w:val="00987494"/>
    <w:rsid w:val="0099738A"/>
    <w:rsid w:val="009A1268"/>
    <w:rsid w:val="009B2F9E"/>
    <w:rsid w:val="009B434D"/>
    <w:rsid w:val="009B59D0"/>
    <w:rsid w:val="009C2E8E"/>
    <w:rsid w:val="009C48DA"/>
    <w:rsid w:val="009D070B"/>
    <w:rsid w:val="009D26E2"/>
    <w:rsid w:val="009D59D1"/>
    <w:rsid w:val="009E6637"/>
    <w:rsid w:val="00A03E86"/>
    <w:rsid w:val="00A17045"/>
    <w:rsid w:val="00A31D5D"/>
    <w:rsid w:val="00A33C26"/>
    <w:rsid w:val="00A35C53"/>
    <w:rsid w:val="00A4664F"/>
    <w:rsid w:val="00A56A66"/>
    <w:rsid w:val="00A62E9F"/>
    <w:rsid w:val="00A714CD"/>
    <w:rsid w:val="00A82C9E"/>
    <w:rsid w:val="00A9751E"/>
    <w:rsid w:val="00AA1699"/>
    <w:rsid w:val="00AA4540"/>
    <w:rsid w:val="00AB3100"/>
    <w:rsid w:val="00AB679F"/>
    <w:rsid w:val="00AB70AB"/>
    <w:rsid w:val="00AB7D19"/>
    <w:rsid w:val="00AC6711"/>
    <w:rsid w:val="00AD1986"/>
    <w:rsid w:val="00AD2D1D"/>
    <w:rsid w:val="00AD42BF"/>
    <w:rsid w:val="00AE1E8A"/>
    <w:rsid w:val="00AE469B"/>
    <w:rsid w:val="00B04A6A"/>
    <w:rsid w:val="00B13E32"/>
    <w:rsid w:val="00B14033"/>
    <w:rsid w:val="00B15F58"/>
    <w:rsid w:val="00B23462"/>
    <w:rsid w:val="00B34E2C"/>
    <w:rsid w:val="00B366B3"/>
    <w:rsid w:val="00B529C6"/>
    <w:rsid w:val="00B5697A"/>
    <w:rsid w:val="00B56C10"/>
    <w:rsid w:val="00B5769A"/>
    <w:rsid w:val="00B62DC6"/>
    <w:rsid w:val="00B66060"/>
    <w:rsid w:val="00B70A24"/>
    <w:rsid w:val="00B81AB1"/>
    <w:rsid w:val="00B91C12"/>
    <w:rsid w:val="00B9394C"/>
    <w:rsid w:val="00BA4480"/>
    <w:rsid w:val="00BA5167"/>
    <w:rsid w:val="00BB4B20"/>
    <w:rsid w:val="00BB5B5C"/>
    <w:rsid w:val="00BC4DF7"/>
    <w:rsid w:val="00BD0FAA"/>
    <w:rsid w:val="00BD4BBB"/>
    <w:rsid w:val="00BE2678"/>
    <w:rsid w:val="00BF0C86"/>
    <w:rsid w:val="00C03169"/>
    <w:rsid w:val="00C070DE"/>
    <w:rsid w:val="00C1533A"/>
    <w:rsid w:val="00C20286"/>
    <w:rsid w:val="00C35D7E"/>
    <w:rsid w:val="00C3758A"/>
    <w:rsid w:val="00C42B14"/>
    <w:rsid w:val="00C44312"/>
    <w:rsid w:val="00C46E9B"/>
    <w:rsid w:val="00C46FB6"/>
    <w:rsid w:val="00C47F95"/>
    <w:rsid w:val="00C606C0"/>
    <w:rsid w:val="00C67C71"/>
    <w:rsid w:val="00C84C4A"/>
    <w:rsid w:val="00C933F8"/>
    <w:rsid w:val="00C976C5"/>
    <w:rsid w:val="00CB23E9"/>
    <w:rsid w:val="00CB364C"/>
    <w:rsid w:val="00CD56C0"/>
    <w:rsid w:val="00CD79FF"/>
    <w:rsid w:val="00CE26C7"/>
    <w:rsid w:val="00CE41C0"/>
    <w:rsid w:val="00CE5790"/>
    <w:rsid w:val="00CF7AFE"/>
    <w:rsid w:val="00D01789"/>
    <w:rsid w:val="00D03A94"/>
    <w:rsid w:val="00D15993"/>
    <w:rsid w:val="00D17A65"/>
    <w:rsid w:val="00D2481F"/>
    <w:rsid w:val="00D2579B"/>
    <w:rsid w:val="00D36800"/>
    <w:rsid w:val="00D40249"/>
    <w:rsid w:val="00D463A3"/>
    <w:rsid w:val="00D67DEF"/>
    <w:rsid w:val="00D733FE"/>
    <w:rsid w:val="00D7437E"/>
    <w:rsid w:val="00D76724"/>
    <w:rsid w:val="00D82A13"/>
    <w:rsid w:val="00D87A76"/>
    <w:rsid w:val="00D9304C"/>
    <w:rsid w:val="00D958A1"/>
    <w:rsid w:val="00DA1A3D"/>
    <w:rsid w:val="00DB7740"/>
    <w:rsid w:val="00DC75DF"/>
    <w:rsid w:val="00DD0E4C"/>
    <w:rsid w:val="00DD306A"/>
    <w:rsid w:val="00DE2651"/>
    <w:rsid w:val="00DE49E8"/>
    <w:rsid w:val="00DF238D"/>
    <w:rsid w:val="00DF54E6"/>
    <w:rsid w:val="00E0715C"/>
    <w:rsid w:val="00E228AD"/>
    <w:rsid w:val="00E24428"/>
    <w:rsid w:val="00E33E69"/>
    <w:rsid w:val="00E40448"/>
    <w:rsid w:val="00E41474"/>
    <w:rsid w:val="00E4243B"/>
    <w:rsid w:val="00E44BA1"/>
    <w:rsid w:val="00E5493F"/>
    <w:rsid w:val="00E55A27"/>
    <w:rsid w:val="00E56D46"/>
    <w:rsid w:val="00E57CCE"/>
    <w:rsid w:val="00E57EF9"/>
    <w:rsid w:val="00E60A32"/>
    <w:rsid w:val="00E62A74"/>
    <w:rsid w:val="00E6791F"/>
    <w:rsid w:val="00E75154"/>
    <w:rsid w:val="00E878C4"/>
    <w:rsid w:val="00E87BF0"/>
    <w:rsid w:val="00E9317C"/>
    <w:rsid w:val="00EB46AE"/>
    <w:rsid w:val="00EB59CE"/>
    <w:rsid w:val="00EC4DC2"/>
    <w:rsid w:val="00ED1920"/>
    <w:rsid w:val="00ED6740"/>
    <w:rsid w:val="00ED7276"/>
    <w:rsid w:val="00ED7277"/>
    <w:rsid w:val="00EE2B6F"/>
    <w:rsid w:val="00EE75EF"/>
    <w:rsid w:val="00EF2665"/>
    <w:rsid w:val="00EF4ADB"/>
    <w:rsid w:val="00F021E3"/>
    <w:rsid w:val="00F02352"/>
    <w:rsid w:val="00F13A67"/>
    <w:rsid w:val="00F177B8"/>
    <w:rsid w:val="00F46860"/>
    <w:rsid w:val="00F5502E"/>
    <w:rsid w:val="00F72517"/>
    <w:rsid w:val="00F77AF7"/>
    <w:rsid w:val="00F8142F"/>
    <w:rsid w:val="00F8150B"/>
    <w:rsid w:val="00F82A6A"/>
    <w:rsid w:val="00F82B2A"/>
    <w:rsid w:val="00F93B55"/>
    <w:rsid w:val="00FA4800"/>
    <w:rsid w:val="00FB7229"/>
    <w:rsid w:val="00FE65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D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D09"/>
    <w:rPr>
      <w:rFonts w:ascii="Times New Roman" w:hAnsi="Times New Roman" w:cs="Times New Roman"/>
      <w:sz w:val="2"/>
    </w:rPr>
  </w:style>
  <w:style w:type="paragraph" w:styleId="Header">
    <w:name w:val="header"/>
    <w:basedOn w:val="Normal"/>
    <w:link w:val="HeaderChar"/>
    <w:uiPriority w:val="99"/>
    <w:rsid w:val="009B59D0"/>
    <w:pPr>
      <w:tabs>
        <w:tab w:val="center" w:pos="4320"/>
        <w:tab w:val="right" w:pos="8640"/>
      </w:tabs>
    </w:pPr>
  </w:style>
  <w:style w:type="character" w:customStyle="1" w:styleId="HeaderChar">
    <w:name w:val="Header Char"/>
    <w:basedOn w:val="DefaultParagraphFont"/>
    <w:link w:val="Header"/>
    <w:uiPriority w:val="99"/>
    <w:locked/>
    <w:rsid w:val="009B59D0"/>
    <w:rPr>
      <w:rFonts w:cs="Times New Roman"/>
    </w:rPr>
  </w:style>
  <w:style w:type="paragraph" w:styleId="Footer">
    <w:name w:val="footer"/>
    <w:basedOn w:val="Normal"/>
    <w:link w:val="FooterChar"/>
    <w:uiPriority w:val="99"/>
    <w:rsid w:val="009B59D0"/>
    <w:pPr>
      <w:tabs>
        <w:tab w:val="center" w:pos="4320"/>
        <w:tab w:val="right" w:pos="8640"/>
      </w:tabs>
    </w:pPr>
  </w:style>
  <w:style w:type="character" w:customStyle="1" w:styleId="FooterChar">
    <w:name w:val="Footer Char"/>
    <w:basedOn w:val="DefaultParagraphFont"/>
    <w:link w:val="Footer"/>
    <w:uiPriority w:val="99"/>
    <w:locked/>
    <w:rsid w:val="009B59D0"/>
    <w:rPr>
      <w:rFonts w:cs="Times New Roman"/>
    </w:rPr>
  </w:style>
  <w:style w:type="character" w:styleId="Hyperlink">
    <w:name w:val="Hyperlink"/>
    <w:basedOn w:val="DefaultParagraphFont"/>
    <w:uiPriority w:val="99"/>
    <w:rsid w:val="00DE49E8"/>
    <w:rPr>
      <w:rFonts w:cs="Times New Roman"/>
      <w:color w:val="0000FF"/>
      <w:u w:val="single"/>
    </w:rPr>
  </w:style>
  <w:style w:type="character" w:customStyle="1" w:styleId="EmailStyle22">
    <w:name w:val="EmailStyle221"/>
    <w:aliases w:val="EmailStyle221"/>
    <w:basedOn w:val="DefaultParagraphFont"/>
    <w:uiPriority w:val="99"/>
    <w:semiHidden/>
    <w:personal/>
    <w:rsid w:val="00E57CCE"/>
    <w:rPr>
      <w:rFonts w:ascii="Arial" w:hAnsi="Arial" w:cs="Arial"/>
      <w:color w:val="000080"/>
      <w:sz w:val="20"/>
      <w:szCs w:val="20"/>
    </w:rPr>
  </w:style>
  <w:style w:type="character" w:styleId="Strong">
    <w:name w:val="Strong"/>
    <w:basedOn w:val="DefaultParagraphFont"/>
    <w:uiPriority w:val="99"/>
    <w:qFormat/>
    <w:locked/>
    <w:rsid w:val="006A1E58"/>
    <w:rPr>
      <w:rFonts w:cs="Times New Roman"/>
      <w:b/>
      <w:bCs/>
    </w:rPr>
  </w:style>
  <w:style w:type="character" w:customStyle="1" w:styleId="st">
    <w:name w:val="st"/>
    <w:basedOn w:val="DefaultParagraphFont"/>
    <w:uiPriority w:val="99"/>
    <w:rsid w:val="002D427C"/>
    <w:rPr>
      <w:rFonts w:cs="Times New Roman"/>
    </w:rPr>
  </w:style>
  <w:style w:type="character" w:styleId="PageNumber">
    <w:name w:val="page number"/>
    <w:basedOn w:val="DefaultParagraphFont"/>
    <w:uiPriority w:val="99"/>
    <w:rsid w:val="002D6D2A"/>
    <w:rPr>
      <w:rFonts w:cs="Times New Roman"/>
    </w:rPr>
  </w:style>
  <w:style w:type="paragraph" w:customStyle="1" w:styleId="msolistparagraph0">
    <w:name w:val="msolistparagraph"/>
    <w:basedOn w:val="Normal"/>
    <w:uiPriority w:val="99"/>
    <w:rsid w:val="001404FB"/>
    <w:pPr>
      <w:ind w:left="720"/>
    </w:pPr>
    <w:rPr>
      <w:rFonts w:ascii="Times New Roman" w:hAnsi="Times New Roman"/>
    </w:rPr>
  </w:style>
  <w:style w:type="character" w:styleId="Emphasis">
    <w:name w:val="Emphasis"/>
    <w:basedOn w:val="DefaultParagraphFont"/>
    <w:uiPriority w:val="99"/>
    <w:qFormat/>
    <w:locked/>
    <w:rsid w:val="008E1AAF"/>
    <w:rPr>
      <w:rFonts w:cs="Times New Roman"/>
      <w:i/>
      <w:iCs/>
    </w:rPr>
  </w:style>
  <w:style w:type="character" w:customStyle="1" w:styleId="EmailStyle28">
    <w:name w:val="EmailStyle281"/>
    <w:aliases w:val="EmailStyle281"/>
    <w:basedOn w:val="DefaultParagraphFont"/>
    <w:uiPriority w:val="99"/>
    <w:semiHidden/>
    <w:personal/>
    <w:rsid w:val="008E1AAF"/>
    <w:rPr>
      <w:rFonts w:ascii="Arial" w:hAnsi="Arial" w:cs="Arial"/>
      <w:b/>
      <w:bCs/>
      <w:color w:val="000000"/>
      <w:sz w:val="20"/>
      <w:szCs w:val="20"/>
    </w:rPr>
  </w:style>
  <w:style w:type="paragraph" w:customStyle="1" w:styleId="Default">
    <w:name w:val="Default"/>
    <w:uiPriority w:val="99"/>
    <w:rsid w:val="008E1AAF"/>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8E1AAF"/>
    <w:pPr>
      <w:spacing w:before="100" w:beforeAutospacing="1" w:after="100" w:afterAutospacing="1"/>
    </w:pPr>
    <w:rPr>
      <w:rFonts w:ascii="Times New Roman" w:hAnsi="Times New Roman"/>
    </w:rPr>
  </w:style>
  <w:style w:type="character" w:customStyle="1" w:styleId="ssens">
    <w:name w:val="ssens"/>
    <w:basedOn w:val="DefaultParagraphFont"/>
    <w:uiPriority w:val="99"/>
    <w:rsid w:val="008E1AAF"/>
    <w:rPr>
      <w:rFonts w:cs="Times New Roman"/>
    </w:rPr>
  </w:style>
</w:styles>
</file>

<file path=word/webSettings.xml><?xml version="1.0" encoding="utf-8"?>
<w:webSettings xmlns:r="http://schemas.openxmlformats.org/officeDocument/2006/relationships" xmlns:w="http://schemas.openxmlformats.org/wordprocessingml/2006/main">
  <w:divs>
    <w:div w:id="2105684589">
      <w:marLeft w:val="0"/>
      <w:marRight w:val="0"/>
      <w:marTop w:val="0"/>
      <w:marBottom w:val="0"/>
      <w:divBdr>
        <w:top w:val="none" w:sz="0" w:space="0" w:color="auto"/>
        <w:left w:val="none" w:sz="0" w:space="0" w:color="auto"/>
        <w:bottom w:val="none" w:sz="0" w:space="0" w:color="auto"/>
        <w:right w:val="none" w:sz="0" w:space="0" w:color="auto"/>
      </w:divBdr>
      <w:divsChild>
        <w:div w:id="2105684591">
          <w:marLeft w:val="0"/>
          <w:marRight w:val="0"/>
          <w:marTop w:val="0"/>
          <w:marBottom w:val="0"/>
          <w:divBdr>
            <w:top w:val="none" w:sz="0" w:space="0" w:color="auto"/>
            <w:left w:val="none" w:sz="0" w:space="0" w:color="auto"/>
            <w:bottom w:val="none" w:sz="0" w:space="0" w:color="auto"/>
            <w:right w:val="none" w:sz="0" w:space="0" w:color="auto"/>
          </w:divBdr>
          <w:divsChild>
            <w:div w:id="21056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4592">
      <w:marLeft w:val="0"/>
      <w:marRight w:val="0"/>
      <w:marTop w:val="0"/>
      <w:marBottom w:val="0"/>
      <w:divBdr>
        <w:top w:val="none" w:sz="0" w:space="0" w:color="auto"/>
        <w:left w:val="none" w:sz="0" w:space="0" w:color="auto"/>
        <w:bottom w:val="none" w:sz="0" w:space="0" w:color="auto"/>
        <w:right w:val="none" w:sz="0" w:space="0" w:color="auto"/>
      </w:divBdr>
    </w:div>
    <w:div w:id="2105684605">
      <w:marLeft w:val="0"/>
      <w:marRight w:val="0"/>
      <w:marTop w:val="0"/>
      <w:marBottom w:val="0"/>
      <w:divBdr>
        <w:top w:val="none" w:sz="0" w:space="0" w:color="auto"/>
        <w:left w:val="none" w:sz="0" w:space="0" w:color="auto"/>
        <w:bottom w:val="none" w:sz="0" w:space="0" w:color="auto"/>
        <w:right w:val="none" w:sz="0" w:space="0" w:color="auto"/>
      </w:divBdr>
      <w:divsChild>
        <w:div w:id="2105684594">
          <w:marLeft w:val="0"/>
          <w:marRight w:val="0"/>
          <w:marTop w:val="0"/>
          <w:marBottom w:val="0"/>
          <w:divBdr>
            <w:top w:val="none" w:sz="0" w:space="0" w:color="auto"/>
            <w:left w:val="none" w:sz="0" w:space="0" w:color="auto"/>
            <w:bottom w:val="none" w:sz="0" w:space="0" w:color="auto"/>
            <w:right w:val="none" w:sz="0" w:space="0" w:color="auto"/>
          </w:divBdr>
          <w:divsChild>
            <w:div w:id="2105684593">
              <w:marLeft w:val="0"/>
              <w:marRight w:val="0"/>
              <w:marTop w:val="0"/>
              <w:marBottom w:val="0"/>
              <w:divBdr>
                <w:top w:val="none" w:sz="0" w:space="0" w:color="auto"/>
                <w:left w:val="none" w:sz="0" w:space="0" w:color="auto"/>
                <w:bottom w:val="none" w:sz="0" w:space="0" w:color="auto"/>
                <w:right w:val="none" w:sz="0" w:space="0" w:color="auto"/>
              </w:divBdr>
            </w:div>
            <w:div w:id="2105684595">
              <w:marLeft w:val="0"/>
              <w:marRight w:val="0"/>
              <w:marTop w:val="0"/>
              <w:marBottom w:val="0"/>
              <w:divBdr>
                <w:top w:val="none" w:sz="0" w:space="0" w:color="auto"/>
                <w:left w:val="none" w:sz="0" w:space="0" w:color="auto"/>
                <w:bottom w:val="none" w:sz="0" w:space="0" w:color="auto"/>
                <w:right w:val="none" w:sz="0" w:space="0" w:color="auto"/>
              </w:divBdr>
            </w:div>
            <w:div w:id="2105684596">
              <w:marLeft w:val="0"/>
              <w:marRight w:val="0"/>
              <w:marTop w:val="0"/>
              <w:marBottom w:val="0"/>
              <w:divBdr>
                <w:top w:val="none" w:sz="0" w:space="0" w:color="auto"/>
                <w:left w:val="none" w:sz="0" w:space="0" w:color="auto"/>
                <w:bottom w:val="none" w:sz="0" w:space="0" w:color="auto"/>
                <w:right w:val="none" w:sz="0" w:space="0" w:color="auto"/>
              </w:divBdr>
            </w:div>
            <w:div w:id="2105684597">
              <w:marLeft w:val="0"/>
              <w:marRight w:val="0"/>
              <w:marTop w:val="0"/>
              <w:marBottom w:val="0"/>
              <w:divBdr>
                <w:top w:val="none" w:sz="0" w:space="0" w:color="auto"/>
                <w:left w:val="none" w:sz="0" w:space="0" w:color="auto"/>
                <w:bottom w:val="none" w:sz="0" w:space="0" w:color="auto"/>
                <w:right w:val="none" w:sz="0" w:space="0" w:color="auto"/>
              </w:divBdr>
            </w:div>
            <w:div w:id="2105684598">
              <w:marLeft w:val="0"/>
              <w:marRight w:val="0"/>
              <w:marTop w:val="0"/>
              <w:marBottom w:val="0"/>
              <w:divBdr>
                <w:top w:val="none" w:sz="0" w:space="0" w:color="auto"/>
                <w:left w:val="none" w:sz="0" w:space="0" w:color="auto"/>
                <w:bottom w:val="none" w:sz="0" w:space="0" w:color="auto"/>
                <w:right w:val="none" w:sz="0" w:space="0" w:color="auto"/>
              </w:divBdr>
            </w:div>
            <w:div w:id="2105684599">
              <w:marLeft w:val="0"/>
              <w:marRight w:val="0"/>
              <w:marTop w:val="0"/>
              <w:marBottom w:val="0"/>
              <w:divBdr>
                <w:top w:val="none" w:sz="0" w:space="0" w:color="auto"/>
                <w:left w:val="none" w:sz="0" w:space="0" w:color="auto"/>
                <w:bottom w:val="none" w:sz="0" w:space="0" w:color="auto"/>
                <w:right w:val="none" w:sz="0" w:space="0" w:color="auto"/>
              </w:divBdr>
            </w:div>
            <w:div w:id="2105684600">
              <w:marLeft w:val="0"/>
              <w:marRight w:val="0"/>
              <w:marTop w:val="0"/>
              <w:marBottom w:val="0"/>
              <w:divBdr>
                <w:top w:val="none" w:sz="0" w:space="0" w:color="auto"/>
                <w:left w:val="none" w:sz="0" w:space="0" w:color="auto"/>
                <w:bottom w:val="none" w:sz="0" w:space="0" w:color="auto"/>
                <w:right w:val="none" w:sz="0" w:space="0" w:color="auto"/>
              </w:divBdr>
            </w:div>
            <w:div w:id="2105684601">
              <w:marLeft w:val="0"/>
              <w:marRight w:val="0"/>
              <w:marTop w:val="0"/>
              <w:marBottom w:val="0"/>
              <w:divBdr>
                <w:top w:val="none" w:sz="0" w:space="0" w:color="auto"/>
                <w:left w:val="none" w:sz="0" w:space="0" w:color="auto"/>
                <w:bottom w:val="none" w:sz="0" w:space="0" w:color="auto"/>
                <w:right w:val="none" w:sz="0" w:space="0" w:color="auto"/>
              </w:divBdr>
            </w:div>
            <w:div w:id="2105684602">
              <w:marLeft w:val="0"/>
              <w:marRight w:val="0"/>
              <w:marTop w:val="0"/>
              <w:marBottom w:val="0"/>
              <w:divBdr>
                <w:top w:val="none" w:sz="0" w:space="0" w:color="auto"/>
                <w:left w:val="none" w:sz="0" w:space="0" w:color="auto"/>
                <w:bottom w:val="none" w:sz="0" w:space="0" w:color="auto"/>
                <w:right w:val="none" w:sz="0" w:space="0" w:color="auto"/>
              </w:divBdr>
            </w:div>
            <w:div w:id="2105684603">
              <w:marLeft w:val="0"/>
              <w:marRight w:val="0"/>
              <w:marTop w:val="0"/>
              <w:marBottom w:val="0"/>
              <w:divBdr>
                <w:top w:val="none" w:sz="0" w:space="0" w:color="auto"/>
                <w:left w:val="none" w:sz="0" w:space="0" w:color="auto"/>
                <w:bottom w:val="none" w:sz="0" w:space="0" w:color="auto"/>
                <w:right w:val="none" w:sz="0" w:space="0" w:color="auto"/>
              </w:divBdr>
            </w:div>
            <w:div w:id="2105684604">
              <w:marLeft w:val="0"/>
              <w:marRight w:val="0"/>
              <w:marTop w:val="0"/>
              <w:marBottom w:val="0"/>
              <w:divBdr>
                <w:top w:val="none" w:sz="0" w:space="0" w:color="auto"/>
                <w:left w:val="none" w:sz="0" w:space="0" w:color="auto"/>
                <w:bottom w:val="none" w:sz="0" w:space="0" w:color="auto"/>
                <w:right w:val="none" w:sz="0" w:space="0" w:color="auto"/>
              </w:divBdr>
            </w:div>
            <w:div w:id="2105684606">
              <w:marLeft w:val="0"/>
              <w:marRight w:val="0"/>
              <w:marTop w:val="0"/>
              <w:marBottom w:val="0"/>
              <w:divBdr>
                <w:top w:val="none" w:sz="0" w:space="0" w:color="auto"/>
                <w:left w:val="none" w:sz="0" w:space="0" w:color="auto"/>
                <w:bottom w:val="none" w:sz="0" w:space="0" w:color="auto"/>
                <w:right w:val="none" w:sz="0" w:space="0" w:color="auto"/>
              </w:divBdr>
            </w:div>
            <w:div w:id="2105684607">
              <w:marLeft w:val="0"/>
              <w:marRight w:val="0"/>
              <w:marTop w:val="0"/>
              <w:marBottom w:val="0"/>
              <w:divBdr>
                <w:top w:val="none" w:sz="0" w:space="0" w:color="auto"/>
                <w:left w:val="none" w:sz="0" w:space="0" w:color="auto"/>
                <w:bottom w:val="none" w:sz="0" w:space="0" w:color="auto"/>
                <w:right w:val="none" w:sz="0" w:space="0" w:color="auto"/>
              </w:divBdr>
            </w:div>
            <w:div w:id="2105684608">
              <w:marLeft w:val="0"/>
              <w:marRight w:val="0"/>
              <w:marTop w:val="0"/>
              <w:marBottom w:val="0"/>
              <w:divBdr>
                <w:top w:val="none" w:sz="0" w:space="0" w:color="auto"/>
                <w:left w:val="none" w:sz="0" w:space="0" w:color="auto"/>
                <w:bottom w:val="none" w:sz="0" w:space="0" w:color="auto"/>
                <w:right w:val="none" w:sz="0" w:space="0" w:color="auto"/>
              </w:divBdr>
            </w:div>
            <w:div w:id="2105684609">
              <w:marLeft w:val="0"/>
              <w:marRight w:val="0"/>
              <w:marTop w:val="0"/>
              <w:marBottom w:val="0"/>
              <w:divBdr>
                <w:top w:val="none" w:sz="0" w:space="0" w:color="auto"/>
                <w:left w:val="none" w:sz="0" w:space="0" w:color="auto"/>
                <w:bottom w:val="none" w:sz="0" w:space="0" w:color="auto"/>
                <w:right w:val="none" w:sz="0" w:space="0" w:color="auto"/>
              </w:divBdr>
            </w:div>
            <w:div w:id="2105684610">
              <w:marLeft w:val="0"/>
              <w:marRight w:val="0"/>
              <w:marTop w:val="0"/>
              <w:marBottom w:val="0"/>
              <w:divBdr>
                <w:top w:val="none" w:sz="0" w:space="0" w:color="auto"/>
                <w:left w:val="none" w:sz="0" w:space="0" w:color="auto"/>
                <w:bottom w:val="none" w:sz="0" w:space="0" w:color="auto"/>
                <w:right w:val="none" w:sz="0" w:space="0" w:color="auto"/>
              </w:divBdr>
            </w:div>
            <w:div w:id="2105684611">
              <w:marLeft w:val="0"/>
              <w:marRight w:val="0"/>
              <w:marTop w:val="0"/>
              <w:marBottom w:val="0"/>
              <w:divBdr>
                <w:top w:val="none" w:sz="0" w:space="0" w:color="auto"/>
                <w:left w:val="none" w:sz="0" w:space="0" w:color="auto"/>
                <w:bottom w:val="none" w:sz="0" w:space="0" w:color="auto"/>
                <w:right w:val="none" w:sz="0" w:space="0" w:color="auto"/>
              </w:divBdr>
            </w:div>
            <w:div w:id="2105684612">
              <w:marLeft w:val="0"/>
              <w:marRight w:val="0"/>
              <w:marTop w:val="0"/>
              <w:marBottom w:val="0"/>
              <w:divBdr>
                <w:top w:val="none" w:sz="0" w:space="0" w:color="auto"/>
                <w:left w:val="none" w:sz="0" w:space="0" w:color="auto"/>
                <w:bottom w:val="none" w:sz="0" w:space="0" w:color="auto"/>
                <w:right w:val="none" w:sz="0" w:space="0" w:color="auto"/>
              </w:divBdr>
            </w:div>
            <w:div w:id="2105684613">
              <w:marLeft w:val="0"/>
              <w:marRight w:val="0"/>
              <w:marTop w:val="0"/>
              <w:marBottom w:val="0"/>
              <w:divBdr>
                <w:top w:val="none" w:sz="0" w:space="0" w:color="auto"/>
                <w:left w:val="none" w:sz="0" w:space="0" w:color="auto"/>
                <w:bottom w:val="none" w:sz="0" w:space="0" w:color="auto"/>
                <w:right w:val="none" w:sz="0" w:space="0" w:color="auto"/>
              </w:divBdr>
            </w:div>
            <w:div w:id="2105684614">
              <w:marLeft w:val="0"/>
              <w:marRight w:val="0"/>
              <w:marTop w:val="0"/>
              <w:marBottom w:val="0"/>
              <w:divBdr>
                <w:top w:val="none" w:sz="0" w:space="0" w:color="auto"/>
                <w:left w:val="none" w:sz="0" w:space="0" w:color="auto"/>
                <w:bottom w:val="none" w:sz="0" w:space="0" w:color="auto"/>
                <w:right w:val="none" w:sz="0" w:space="0" w:color="auto"/>
              </w:divBdr>
            </w:div>
            <w:div w:id="2105684615">
              <w:marLeft w:val="0"/>
              <w:marRight w:val="0"/>
              <w:marTop w:val="0"/>
              <w:marBottom w:val="0"/>
              <w:divBdr>
                <w:top w:val="none" w:sz="0" w:space="0" w:color="auto"/>
                <w:left w:val="none" w:sz="0" w:space="0" w:color="auto"/>
                <w:bottom w:val="none" w:sz="0" w:space="0" w:color="auto"/>
                <w:right w:val="none" w:sz="0" w:space="0" w:color="auto"/>
              </w:divBdr>
            </w:div>
            <w:div w:id="2105684616">
              <w:marLeft w:val="0"/>
              <w:marRight w:val="0"/>
              <w:marTop w:val="0"/>
              <w:marBottom w:val="0"/>
              <w:divBdr>
                <w:top w:val="none" w:sz="0" w:space="0" w:color="auto"/>
                <w:left w:val="none" w:sz="0" w:space="0" w:color="auto"/>
                <w:bottom w:val="none" w:sz="0" w:space="0" w:color="auto"/>
                <w:right w:val="none" w:sz="0" w:space="0" w:color="auto"/>
              </w:divBdr>
            </w:div>
            <w:div w:id="2105684617">
              <w:marLeft w:val="0"/>
              <w:marRight w:val="0"/>
              <w:marTop w:val="0"/>
              <w:marBottom w:val="0"/>
              <w:divBdr>
                <w:top w:val="none" w:sz="0" w:space="0" w:color="auto"/>
                <w:left w:val="none" w:sz="0" w:space="0" w:color="auto"/>
                <w:bottom w:val="none" w:sz="0" w:space="0" w:color="auto"/>
                <w:right w:val="none" w:sz="0" w:space="0" w:color="auto"/>
              </w:divBdr>
            </w:div>
            <w:div w:id="2105684618">
              <w:marLeft w:val="0"/>
              <w:marRight w:val="0"/>
              <w:marTop w:val="0"/>
              <w:marBottom w:val="0"/>
              <w:divBdr>
                <w:top w:val="none" w:sz="0" w:space="0" w:color="auto"/>
                <w:left w:val="none" w:sz="0" w:space="0" w:color="auto"/>
                <w:bottom w:val="none" w:sz="0" w:space="0" w:color="auto"/>
                <w:right w:val="none" w:sz="0" w:space="0" w:color="auto"/>
              </w:divBdr>
            </w:div>
            <w:div w:id="2105684619">
              <w:marLeft w:val="0"/>
              <w:marRight w:val="0"/>
              <w:marTop w:val="0"/>
              <w:marBottom w:val="0"/>
              <w:divBdr>
                <w:top w:val="none" w:sz="0" w:space="0" w:color="auto"/>
                <w:left w:val="none" w:sz="0" w:space="0" w:color="auto"/>
                <w:bottom w:val="none" w:sz="0" w:space="0" w:color="auto"/>
                <w:right w:val="none" w:sz="0" w:space="0" w:color="auto"/>
              </w:divBdr>
            </w:div>
            <w:div w:id="2105684620">
              <w:marLeft w:val="0"/>
              <w:marRight w:val="0"/>
              <w:marTop w:val="0"/>
              <w:marBottom w:val="0"/>
              <w:divBdr>
                <w:top w:val="none" w:sz="0" w:space="0" w:color="auto"/>
                <w:left w:val="none" w:sz="0" w:space="0" w:color="auto"/>
                <w:bottom w:val="none" w:sz="0" w:space="0" w:color="auto"/>
                <w:right w:val="none" w:sz="0" w:space="0" w:color="auto"/>
              </w:divBdr>
            </w:div>
            <w:div w:id="2105684621">
              <w:marLeft w:val="0"/>
              <w:marRight w:val="0"/>
              <w:marTop w:val="0"/>
              <w:marBottom w:val="0"/>
              <w:divBdr>
                <w:top w:val="none" w:sz="0" w:space="0" w:color="auto"/>
                <w:left w:val="none" w:sz="0" w:space="0" w:color="auto"/>
                <w:bottom w:val="none" w:sz="0" w:space="0" w:color="auto"/>
                <w:right w:val="none" w:sz="0" w:space="0" w:color="auto"/>
              </w:divBdr>
            </w:div>
            <w:div w:id="2105684622">
              <w:marLeft w:val="0"/>
              <w:marRight w:val="0"/>
              <w:marTop w:val="0"/>
              <w:marBottom w:val="0"/>
              <w:divBdr>
                <w:top w:val="none" w:sz="0" w:space="0" w:color="auto"/>
                <w:left w:val="none" w:sz="0" w:space="0" w:color="auto"/>
                <w:bottom w:val="none" w:sz="0" w:space="0" w:color="auto"/>
                <w:right w:val="none" w:sz="0" w:space="0" w:color="auto"/>
              </w:divBdr>
            </w:div>
            <w:div w:id="2105684623">
              <w:marLeft w:val="0"/>
              <w:marRight w:val="0"/>
              <w:marTop w:val="0"/>
              <w:marBottom w:val="0"/>
              <w:divBdr>
                <w:top w:val="none" w:sz="0" w:space="0" w:color="auto"/>
                <w:left w:val="none" w:sz="0" w:space="0" w:color="auto"/>
                <w:bottom w:val="none" w:sz="0" w:space="0" w:color="auto"/>
                <w:right w:val="none" w:sz="0" w:space="0" w:color="auto"/>
              </w:divBdr>
            </w:div>
            <w:div w:id="2105684624">
              <w:marLeft w:val="0"/>
              <w:marRight w:val="0"/>
              <w:marTop w:val="0"/>
              <w:marBottom w:val="0"/>
              <w:divBdr>
                <w:top w:val="none" w:sz="0" w:space="0" w:color="auto"/>
                <w:left w:val="none" w:sz="0" w:space="0" w:color="auto"/>
                <w:bottom w:val="none" w:sz="0" w:space="0" w:color="auto"/>
                <w:right w:val="none" w:sz="0" w:space="0" w:color="auto"/>
              </w:divBdr>
            </w:div>
            <w:div w:id="2105684625">
              <w:marLeft w:val="0"/>
              <w:marRight w:val="0"/>
              <w:marTop w:val="0"/>
              <w:marBottom w:val="0"/>
              <w:divBdr>
                <w:top w:val="none" w:sz="0" w:space="0" w:color="auto"/>
                <w:left w:val="none" w:sz="0" w:space="0" w:color="auto"/>
                <w:bottom w:val="none" w:sz="0" w:space="0" w:color="auto"/>
                <w:right w:val="none" w:sz="0" w:space="0" w:color="auto"/>
              </w:divBdr>
            </w:div>
            <w:div w:id="2105684626">
              <w:marLeft w:val="0"/>
              <w:marRight w:val="0"/>
              <w:marTop w:val="0"/>
              <w:marBottom w:val="0"/>
              <w:divBdr>
                <w:top w:val="none" w:sz="0" w:space="0" w:color="auto"/>
                <w:left w:val="none" w:sz="0" w:space="0" w:color="auto"/>
                <w:bottom w:val="none" w:sz="0" w:space="0" w:color="auto"/>
                <w:right w:val="none" w:sz="0" w:space="0" w:color="auto"/>
              </w:divBdr>
            </w:div>
            <w:div w:id="21056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4630">
      <w:marLeft w:val="0"/>
      <w:marRight w:val="0"/>
      <w:marTop w:val="0"/>
      <w:marBottom w:val="0"/>
      <w:divBdr>
        <w:top w:val="none" w:sz="0" w:space="0" w:color="auto"/>
        <w:left w:val="none" w:sz="0" w:space="0" w:color="auto"/>
        <w:bottom w:val="none" w:sz="0" w:space="0" w:color="auto"/>
        <w:right w:val="none" w:sz="0" w:space="0" w:color="auto"/>
      </w:divBdr>
      <w:divsChild>
        <w:div w:id="2105684628">
          <w:marLeft w:val="0"/>
          <w:marRight w:val="0"/>
          <w:marTop w:val="0"/>
          <w:marBottom w:val="0"/>
          <w:divBdr>
            <w:top w:val="none" w:sz="0" w:space="0" w:color="auto"/>
            <w:left w:val="none" w:sz="0" w:space="0" w:color="auto"/>
            <w:bottom w:val="none" w:sz="0" w:space="0" w:color="auto"/>
            <w:right w:val="none" w:sz="0" w:space="0" w:color="auto"/>
          </w:divBdr>
          <w:divsChild>
            <w:div w:id="2105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4631">
      <w:marLeft w:val="0"/>
      <w:marRight w:val="0"/>
      <w:marTop w:val="0"/>
      <w:marBottom w:val="0"/>
      <w:divBdr>
        <w:top w:val="none" w:sz="0" w:space="0" w:color="auto"/>
        <w:left w:val="none" w:sz="0" w:space="0" w:color="auto"/>
        <w:bottom w:val="none" w:sz="0" w:space="0" w:color="auto"/>
        <w:right w:val="none" w:sz="0" w:space="0" w:color="auto"/>
      </w:divBdr>
      <w:divsChild>
        <w:div w:id="2105684629">
          <w:marLeft w:val="0"/>
          <w:marRight w:val="0"/>
          <w:marTop w:val="0"/>
          <w:marBottom w:val="0"/>
          <w:divBdr>
            <w:top w:val="none" w:sz="0" w:space="0" w:color="auto"/>
            <w:left w:val="none" w:sz="0" w:space="0" w:color="auto"/>
            <w:bottom w:val="none" w:sz="0" w:space="0" w:color="auto"/>
            <w:right w:val="none" w:sz="0" w:space="0" w:color="auto"/>
          </w:divBdr>
        </w:div>
      </w:divsChild>
    </w:div>
    <w:div w:id="2105684632">
      <w:marLeft w:val="0"/>
      <w:marRight w:val="0"/>
      <w:marTop w:val="0"/>
      <w:marBottom w:val="0"/>
      <w:divBdr>
        <w:top w:val="none" w:sz="0" w:space="0" w:color="auto"/>
        <w:left w:val="none" w:sz="0" w:space="0" w:color="auto"/>
        <w:bottom w:val="none" w:sz="0" w:space="0" w:color="auto"/>
        <w:right w:val="none" w:sz="0" w:space="0" w:color="auto"/>
      </w:divBdr>
      <w:divsChild>
        <w:div w:id="2105684634">
          <w:marLeft w:val="0"/>
          <w:marRight w:val="0"/>
          <w:marTop w:val="0"/>
          <w:marBottom w:val="0"/>
          <w:divBdr>
            <w:top w:val="none" w:sz="0" w:space="0" w:color="auto"/>
            <w:left w:val="none" w:sz="0" w:space="0" w:color="auto"/>
            <w:bottom w:val="none" w:sz="0" w:space="0" w:color="auto"/>
            <w:right w:val="none" w:sz="0" w:space="0" w:color="auto"/>
          </w:divBdr>
        </w:div>
      </w:divsChild>
    </w:div>
    <w:div w:id="2105684636">
      <w:marLeft w:val="0"/>
      <w:marRight w:val="0"/>
      <w:marTop w:val="0"/>
      <w:marBottom w:val="0"/>
      <w:divBdr>
        <w:top w:val="none" w:sz="0" w:space="0" w:color="auto"/>
        <w:left w:val="none" w:sz="0" w:space="0" w:color="auto"/>
        <w:bottom w:val="none" w:sz="0" w:space="0" w:color="auto"/>
        <w:right w:val="none" w:sz="0" w:space="0" w:color="auto"/>
      </w:divBdr>
      <w:divsChild>
        <w:div w:id="2105684635">
          <w:marLeft w:val="0"/>
          <w:marRight w:val="0"/>
          <w:marTop w:val="0"/>
          <w:marBottom w:val="0"/>
          <w:divBdr>
            <w:top w:val="none" w:sz="0" w:space="0" w:color="auto"/>
            <w:left w:val="none" w:sz="0" w:space="0" w:color="auto"/>
            <w:bottom w:val="none" w:sz="0" w:space="0" w:color="auto"/>
            <w:right w:val="none" w:sz="0" w:space="0" w:color="auto"/>
          </w:divBdr>
        </w:div>
      </w:divsChild>
    </w:div>
    <w:div w:id="2105684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edu/law/faculty/scholarship/workingpapers/documents/FrankelT101009Revsep2010.pdf" TargetMode="External"/><Relationship Id="rId13" Type="http://schemas.openxmlformats.org/officeDocument/2006/relationships/hyperlink" Target="http://assets.aarp.org/rgcenter/econ/401k_fees.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hefiduciaryinstitute.org" TargetMode="External"/><Relationship Id="rId12" Type="http://schemas.openxmlformats.org/officeDocument/2006/relationships/hyperlink" Target="http://papers.ssrn.com/sol3/papers.cfm?abstract_id=109899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ra.org/Newsroom/Speeches/Ketchum/P120289" TargetMode="External"/><Relationship Id="rId5" Type="http://schemas.openxmlformats.org/officeDocument/2006/relationships/footnotes" Target="footnotes.xml"/><Relationship Id="rId15" Type="http://schemas.openxmlformats.org/officeDocument/2006/relationships/hyperlink" Target="http://www.thefiduciaryopportunity.com/" TargetMode="External"/><Relationship Id="rId10" Type="http://schemas.openxmlformats.org/officeDocument/2006/relationships/hyperlink" Target="http://www.sec.gov/news/studies/bkrcomp.tx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c.gov/news/speech/1934/030034douglas.pdf" TargetMode="External"/><Relationship Id="rId14" Type="http://schemas.openxmlformats.org/officeDocument/2006/relationships/hyperlink" Target="http://www.sec.gov/news/press/2008/2008-1_randiabd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273</TotalTime>
  <Pages>13</Pages>
  <Words>5362</Words>
  <Characters>30564</Characters>
  <Application>Microsoft Office Outlook</Application>
  <DocSecurity>0</DocSecurity>
  <Lines>0</Lines>
  <Paragraphs>0</Paragraphs>
  <ScaleCrop>false</ScaleCrop>
  <Company>Wm. McBride &amp; Associates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dc:title>
  <dc:subject/>
  <dc:creator>William McBride</dc:creator>
  <cp:keywords/>
  <dc:description/>
  <cp:lastModifiedBy>Knut A Rostad</cp:lastModifiedBy>
  <cp:revision>20</cp:revision>
  <cp:lastPrinted>2013-09-10T17:09:00Z</cp:lastPrinted>
  <dcterms:created xsi:type="dcterms:W3CDTF">2013-09-09T20:34:00Z</dcterms:created>
  <dcterms:modified xsi:type="dcterms:W3CDTF">2013-09-11T21:53:00Z</dcterms:modified>
</cp:coreProperties>
</file>